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0E" w:rsidRPr="005B48EA" w:rsidRDefault="00E22D0E" w:rsidP="00E22D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48EA">
        <w:rPr>
          <w:rFonts w:ascii="Times New Roman" w:hAnsi="Times New Roman" w:cs="Times New Roman"/>
          <w:sz w:val="24"/>
          <w:szCs w:val="24"/>
        </w:rPr>
        <w:t xml:space="preserve">Форма информационного документа об обыкновенной акции </w:t>
      </w:r>
      <w:r>
        <w:rPr>
          <w:rFonts w:ascii="Times New Roman" w:hAnsi="Times New Roman" w:cs="Times New Roman"/>
          <w:sz w:val="24"/>
          <w:szCs w:val="24"/>
        </w:rPr>
        <w:t>российского акционерного общества</w:t>
      </w:r>
      <w:bookmarkEnd w:id="0"/>
    </w:p>
    <w:p w:rsidR="00E22D0E" w:rsidRDefault="00E22D0E" w:rsidP="00E22D0E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2D0E" w:rsidRPr="00FB0EE3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Обыкновенная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E22D0E" w:rsidRPr="005B48EA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обыкновенных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E22D0E" w:rsidRPr="00173DAF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D0E" w:rsidRPr="00173DAF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E22D0E" w:rsidRPr="00173DAF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E22D0E" w:rsidRPr="00173DAF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обыкновенной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2D0E" w:rsidRPr="00EE3C65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0E" w:rsidRPr="00FB2054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быкновенная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31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Каждая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одного акционерного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предоставляет </w:t>
      </w:r>
      <w:r w:rsidRPr="0094349E">
        <w:rPr>
          <w:rFonts w:ascii="Times New Roman" w:hAnsi="Times New Roman" w:cs="Times New Roman"/>
          <w:bCs/>
          <w:sz w:val="24"/>
          <w:szCs w:val="24"/>
        </w:rPr>
        <w:t>одинаковый объем прав.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Право на получение части прибыли акционерного </w:t>
      </w:r>
      <w:r w:rsidRPr="00BF7FE0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 w:rsidRPr="00BF7FE0">
        <w:rPr>
          <w:rFonts w:ascii="Times New Roman" w:hAnsi="Times New Roman" w:cs="Times New Roman"/>
          <w:bCs/>
          <w:sz w:val="24"/>
          <w:szCs w:val="24"/>
        </w:rPr>
        <w:t>. Акционерное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 xml:space="preserve">. Для получения дивидендов Вам необходимо быть владельцем акции на установленную дату. Поскольку расчеты по сделкам с акциями на бирже производятся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  рабочий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после совершения сделки, для получения объявленных дивидендов Вам необходимо приобрести акцию за один день до установленной даты.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Участие в управлении акционерным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посредством голосования на общих собраниях акционеров.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дна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>дает один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голос (за исключением случаев </w:t>
      </w:r>
      <w:r>
        <w:rPr>
          <w:rFonts w:ascii="Times New Roman" w:hAnsi="Times New Roman" w:cs="Times New Roman"/>
          <w:bCs/>
          <w:sz w:val="24"/>
          <w:szCs w:val="24"/>
        </w:rPr>
        <w:t>избрания коллегиальных органов управления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когда одна акция дает количество голосов, равное количественному составу коллегиального органа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E22D0E" w:rsidRPr="00BD662D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средств кредиторам)</w:t>
      </w:r>
      <w:r>
        <w:rPr>
          <w:rFonts w:ascii="Times New Roman" w:hAnsi="Times New Roman" w:cs="Times New Roman"/>
          <w:sz w:val="24"/>
          <w:szCs w:val="24"/>
        </w:rPr>
        <w:t>, а в оставшейся части - среди владельцев привилегированных 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 xml:space="preserve">. Выплаты 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>в последнюю очередь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акции).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>тоимость принадлежащей Вам обыкновенной акции может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 в результате снижения цены акции. Также в отдельных случаях рыночная стоимость акции может упасть до «нуля», тогда Вы можете потерять все вложенные средства.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3F6C6E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обыкновенных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Риск неполучения доходов (дивидендов) по обыкновенным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оставшегося имущества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в последнюю очередь и, как правило, имущества общества недостаточно для таких выплат.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обыкновенные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2D0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0E" w:rsidRPr="003F6C6E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E22D0E" w:rsidRPr="00EE3C65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>При сделках с обыкновенными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E22D0E" w:rsidRPr="00EE3C65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0E" w:rsidRPr="00EE3C65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E22D0E" w:rsidRPr="00EE3C65" w:rsidRDefault="00E22D0E" w:rsidP="00E22D0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E22D0E" w:rsidRDefault="00E22D0E" w:rsidP="00E22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E7A" w:rsidRDefault="00410E7A"/>
    <w:sectPr w:rsidR="004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0E"/>
    <w:rsid w:val="00410E7A"/>
    <w:rsid w:val="00E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75F19-D169-4D02-A6D1-E9A76FD3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 Алексей Владимирович</dc:creator>
  <cp:keywords/>
  <dc:description/>
  <cp:lastModifiedBy>Бушуев Алексей Владимирович</cp:lastModifiedBy>
  <cp:revision>1</cp:revision>
  <dcterms:created xsi:type="dcterms:W3CDTF">2024-05-28T09:54:00Z</dcterms:created>
  <dcterms:modified xsi:type="dcterms:W3CDTF">2024-05-28T09:55:00Z</dcterms:modified>
</cp:coreProperties>
</file>