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43" w:rsidRPr="00921E84" w:rsidRDefault="00064643" w:rsidP="00064643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21E84">
        <w:rPr>
          <w:rFonts w:ascii="Times New Roman" w:hAnsi="Times New Roman" w:cs="Times New Roman"/>
          <w:bCs/>
          <w:sz w:val="24"/>
          <w:szCs w:val="24"/>
        </w:rPr>
        <w:t>Форма информационного документа по обыкновенной</w:t>
      </w:r>
      <w:r w:rsidRPr="00921E84">
        <w:rPr>
          <w:rStyle w:val="a5"/>
          <w:rFonts w:ascii="Times New Roman" w:hAnsi="Times New Roman" w:cs="Times New Roman"/>
          <w:bCs/>
          <w:sz w:val="24"/>
          <w:szCs w:val="24"/>
        </w:rPr>
        <w:footnoteReference w:id="1"/>
      </w:r>
      <w:r w:rsidRPr="00921E84">
        <w:rPr>
          <w:rFonts w:ascii="Times New Roman" w:hAnsi="Times New Roman" w:cs="Times New Roman"/>
          <w:bCs/>
          <w:sz w:val="24"/>
          <w:szCs w:val="24"/>
        </w:rPr>
        <w:t xml:space="preserve"> облигации российского эмитента</w:t>
      </w:r>
      <w:bookmarkEnd w:id="0"/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Облигация российского эмитента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облигации российского эмитента.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облигации российского эмитента.</w:t>
      </w:r>
    </w:p>
    <w:p w:rsidR="00064643" w:rsidRPr="00C071AE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659889"/>
      <w:r w:rsidRPr="00921E84">
        <w:rPr>
          <w:rFonts w:ascii="Times New Roman" w:hAnsi="Times New Roman" w:cs="Times New Roman"/>
          <w:bCs/>
          <w:sz w:val="24"/>
          <w:szCs w:val="24"/>
        </w:rPr>
        <w:t xml:space="preserve">Облигация российского эмитента </w:t>
      </w:r>
      <w:r w:rsidRPr="00921E84">
        <w:rPr>
          <w:rFonts w:ascii="Times New Roman" w:hAnsi="Times New Roman" w:cs="Times New Roman"/>
          <w:sz w:val="24"/>
          <w:szCs w:val="24"/>
        </w:rPr>
        <w:t>—</w:t>
      </w:r>
      <w:r w:rsidRPr="009946C2">
        <w:rPr>
          <w:rFonts w:ascii="Times New Roman" w:hAnsi="Times New Roman" w:cs="Times New Roman"/>
          <w:sz w:val="24"/>
          <w:szCs w:val="24"/>
        </w:rPr>
        <w:t xml:space="preserve"> это ценная бумага, </w:t>
      </w:r>
      <w:bookmarkEnd w:id="1"/>
      <w:r w:rsidRPr="009946C2">
        <w:rPr>
          <w:rFonts w:ascii="Times New Roman" w:hAnsi="Times New Roman" w:cs="Times New Roman"/>
          <w:sz w:val="24"/>
          <w:szCs w:val="24"/>
        </w:rPr>
        <w:t xml:space="preserve">закрепляющая права ее владельца на получение в предусмотренный в ней срок от эмитента ее номинальной стоимости. Облигация может также предусматривать право ее владельца на получение установленных в ней процентов </w:t>
      </w:r>
      <w:r w:rsidRPr="00DB4021">
        <w:rPr>
          <w:rFonts w:ascii="Times New Roman" w:hAnsi="Times New Roman" w:cs="Times New Roman"/>
          <w:sz w:val="24"/>
          <w:szCs w:val="24"/>
        </w:rPr>
        <w:t>(купонов). Каждая облигация одного выпуска имеет одинаковый объем прав. 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021">
        <w:rPr>
          <w:rFonts w:ascii="Times New Roman" w:hAnsi="Times New Roman" w:cs="Times New Roman"/>
          <w:sz w:val="24"/>
          <w:szCs w:val="24"/>
        </w:rPr>
        <w:t>В частности, может быть установлено, что размер купонных выплат по облигациям определятся эмитентом в процессе их обращения.</w:t>
      </w:r>
      <w:r>
        <w:rPr>
          <w:rFonts w:ascii="Times New Roman" w:hAnsi="Times New Roman" w:cs="Times New Roman"/>
          <w:sz w:val="24"/>
          <w:szCs w:val="24"/>
        </w:rPr>
        <w:t xml:space="preserve"> Также, облигации могут предусматривать фиксированные купонные выплаты разного размера, в том числе уменьшающиеся в следующем купонном периоде.    </w:t>
      </w:r>
    </w:p>
    <w:p w:rsidR="00064643" w:rsidRPr="00921E84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021">
        <w:rPr>
          <w:rFonts w:ascii="Times New Roman" w:hAnsi="Times New Roman" w:cs="Times New Roman"/>
          <w:color w:val="000000"/>
          <w:sz w:val="24"/>
          <w:szCs w:val="24"/>
        </w:rPr>
        <w:t>Погашение номинальной стоимости облигации может осуществляться частями в процессе обращения облигаций (амортизация облигации)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этом случае оставшиеся купонные платежи рассчитываются исходя из непогашенной номинальной стоимости облигации.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Облигации могут предусматривать возможность их досрочного погашения как по инициативе эмитента, так и по инициативе их владельцев. В некоторых случаях эмитент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иное лицо заранее объявляет о своей готовности приобрести у любого заинтересованного лица облигации в определенную дату (оферта по облигациям). Обратите внимание, что количество облигаций, приобретаемых по оферте, может быть ограничено, и Вы не сможете при желании продать все имеющиеся у Вас облигации.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Облигации компаний (корпоративные облигации), в отличие от акций, </w:t>
      </w:r>
      <w:r w:rsidRPr="000C1B14">
        <w:rPr>
          <w:rFonts w:ascii="Times New Roman" w:hAnsi="Times New Roman" w:cs="Times New Roman"/>
          <w:bCs/>
          <w:sz w:val="24"/>
          <w:szCs w:val="24"/>
        </w:rPr>
        <w:t>не дают право на участие в управлении компанией (обществом).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кредиторам), </w:t>
      </w:r>
      <w:r>
        <w:rPr>
          <w:rFonts w:ascii="Times New Roman" w:eastAsia="Calibri" w:hAnsi="Times New Roman" w:cs="Times New Roman"/>
          <w:sz w:val="24"/>
          <w:szCs w:val="24"/>
        </w:rPr>
        <w:t>в том числе владельцами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облигаций общества. Владельцы облигаций участвуют в распределении имущества перед владельцами привилегированных и обыкновенных акций.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- </w:t>
      </w:r>
      <w:r w:rsidRPr="009946C2">
        <w:rPr>
          <w:rFonts w:ascii="Times New Roman" w:hAnsi="Times New Roman" w:cs="Times New Roman"/>
          <w:sz w:val="24"/>
          <w:szCs w:val="24"/>
        </w:rPr>
        <w:t>стоимость принадлежащей Вам облигации может как расти, так и снижаться, и ее рост в прошлом не означает ее роста в будущем. В случае возникновения необходимости реализации облигации до ее погашения эмитентом существует риск того, что Вы понесете убытки в результате снижения цены облигации на рынке. Изменение цены на облигации связано, прежде всего, с изменением процентных ставок на финансовом рынке. Как правило, цена облигации снижается, если процентные ставки на рынке растут, и наоборот - цена облигации растет, если процентные ставки снижаются. Например, если новые облигации выпускаются с более высокой процентной ставкой, то старые облигации с более низкой процентной ставкой становятся менее привлекательными для инвесторов.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облигаций, в том числе с изменением кредитного рейтинга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корпоративными событиями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и други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облигацию в любой момент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времени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без существенного снижения ее стоимости, зависит от спроса и предложения на рынке. Наиболее ликвидными являются облигации, обращающиеся на организованном рынке, облигации,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облигации или с тем, что Вам придется продать их с существенными убытками из-за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снижения спроса на них или каких-либо ограничений на их обращение. Предпосылками для снижения ликвидности облигаций могут являться: исключение облигаций из котировального списка биржи, снижение рейтинга эмитента (конкретного выпуска облигаций, лица, предоставившего обеспечение по облигациям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при его наличии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), негативные корпоративные события и другие обстоятельства.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 w:rsidRPr="009946C2">
        <w:rPr>
          <w:rFonts w:ascii="Times New Roman" w:hAnsi="Times New Roman" w:cs="Times New Roman"/>
          <w:sz w:val="24"/>
          <w:szCs w:val="24"/>
        </w:rPr>
        <w:t>Существует риск неисполнения эмитентом облигаций своих обязательств, который может реализоваться, в частности, в виде пропуска или задержки выплаты купонов и (или) погашения номинал</w:t>
      </w:r>
      <w:r>
        <w:rPr>
          <w:rFonts w:ascii="Times New Roman" w:hAnsi="Times New Roman" w:cs="Times New Roman"/>
          <w:sz w:val="24"/>
          <w:szCs w:val="24"/>
        </w:rPr>
        <w:t>ьной стоимости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Риск дефолта. </w:t>
      </w:r>
      <w:r w:rsidRPr="009946C2">
        <w:rPr>
          <w:rFonts w:ascii="Times New Roman" w:hAnsi="Times New Roman" w:cs="Times New Roman"/>
          <w:sz w:val="24"/>
          <w:szCs w:val="24"/>
        </w:rPr>
        <w:t>Ситуация, при которой эмитент не в состоянии выплатить владельцам облигаций сумму погашения облигаций и (или) купонов по ней. В этом случае инвесторы рискуют потерять все свои вложения</w:t>
      </w:r>
      <w:r>
        <w:rPr>
          <w:rFonts w:ascii="Times New Roman" w:hAnsi="Times New Roman" w:cs="Times New Roman"/>
          <w:sz w:val="24"/>
          <w:szCs w:val="24"/>
        </w:rPr>
        <w:t xml:space="preserve"> в данную ценную бумагу</w:t>
      </w:r>
      <w:r w:rsidRPr="009946C2">
        <w:rPr>
          <w:rFonts w:ascii="Times New Roman" w:hAnsi="Times New Roman" w:cs="Times New Roman"/>
          <w:sz w:val="24"/>
          <w:szCs w:val="24"/>
        </w:rPr>
        <w:t>. Дефолт может произойти у эмитентов с любым уровнем кредитного рейтинга. Кредитный рейтинг отражает мнение рейтингового агентства о вероятности наступления дефолта: наименее вероятный уровень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«ААА» (высший кредитный уровень, затем следует «АА», «А», «ВВВ», «ВВ», «В» по степени увеличения вероятности дефолта)</w:t>
      </w:r>
      <w:r w:rsidRPr="009946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946C2">
        <w:rPr>
          <w:rFonts w:ascii="Times New Roman" w:hAnsi="Times New Roman" w:cs="Times New Roman"/>
          <w:sz w:val="24"/>
          <w:szCs w:val="24"/>
        </w:rPr>
        <w:t xml:space="preserve">ем ниже </w:t>
      </w:r>
      <w:r>
        <w:rPr>
          <w:rFonts w:ascii="Times New Roman" w:hAnsi="Times New Roman" w:cs="Times New Roman"/>
          <w:sz w:val="24"/>
          <w:szCs w:val="24"/>
        </w:rPr>
        <w:t xml:space="preserve">кредитный </w:t>
      </w:r>
      <w:r w:rsidRPr="009946C2">
        <w:rPr>
          <w:rFonts w:ascii="Times New Roman" w:hAnsi="Times New Roman" w:cs="Times New Roman"/>
          <w:sz w:val="24"/>
          <w:szCs w:val="24"/>
        </w:rPr>
        <w:t>рейтинг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тем выше </w:t>
      </w:r>
      <w:r>
        <w:rPr>
          <w:rFonts w:ascii="Times New Roman" w:hAnsi="Times New Roman" w:cs="Times New Roman"/>
          <w:sz w:val="24"/>
          <w:szCs w:val="24"/>
        </w:rPr>
        <w:t xml:space="preserve">по мнению кредитного рейтингового агентства </w:t>
      </w:r>
      <w:r w:rsidRPr="009946C2">
        <w:rPr>
          <w:rFonts w:ascii="Times New Roman" w:hAnsi="Times New Roman" w:cs="Times New Roman"/>
          <w:sz w:val="24"/>
          <w:szCs w:val="24"/>
        </w:rPr>
        <w:t>вероятность дефолта.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банкротства эмитента.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При приобретении облигаций, эмитентами которых являются организации, существует риск банкротства эмитента. В случае банкротства эмитента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акций, имущества может быть недостаточно для выплат по облигациям. В результате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Вы можете потерять все свои вложения в облигации.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4643" w:rsidRPr="00D46C07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00C">
        <w:rPr>
          <w:rFonts w:ascii="Times New Roman" w:hAnsi="Times New Roman" w:cs="Times New Roman"/>
          <w:sz w:val="24"/>
          <w:szCs w:val="24"/>
        </w:rPr>
        <w:t xml:space="preserve">В большинстве случаев эмитент берет на себя обязательства по облигациям </w:t>
      </w:r>
      <w:proofErr w:type="gramStart"/>
      <w:r w:rsidRPr="006D200C">
        <w:rPr>
          <w:rFonts w:ascii="Times New Roman" w:hAnsi="Times New Roman" w:cs="Times New Roman"/>
          <w:sz w:val="24"/>
          <w:szCs w:val="24"/>
        </w:rPr>
        <w:t>без  дополнительного</w:t>
      </w:r>
      <w:proofErr w:type="gramEnd"/>
      <w:r w:rsidRPr="006D200C">
        <w:rPr>
          <w:rFonts w:ascii="Times New Roman" w:hAnsi="Times New Roman" w:cs="Times New Roman"/>
          <w:sz w:val="24"/>
          <w:szCs w:val="24"/>
        </w:rPr>
        <w:t xml:space="preserve"> имущественного обеспечения по ним. </w:t>
      </w:r>
      <w:r w:rsidRPr="00F83C47">
        <w:rPr>
          <w:rFonts w:ascii="Times New Roman" w:hAnsi="Times New Roman" w:cs="Times New Roman"/>
          <w:sz w:val="24"/>
          <w:szCs w:val="24"/>
        </w:rPr>
        <w:t>С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пособность эмитента в полном объеме выполнять свои обязательства по облигациям подтверждается, например, высоким кредитным рейтингом эмитента, успешной деятельностью эмитента, его устойчивым финансовым положением, репутацией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00C">
        <w:rPr>
          <w:rFonts w:ascii="Times New Roman" w:hAnsi="Times New Roman" w:cs="Times New Roman"/>
          <w:sz w:val="24"/>
          <w:szCs w:val="24"/>
        </w:rPr>
        <w:t xml:space="preserve">Вместе с тем исполнение обязательств по облигациям может быть полностью или частично обеспечиваться залогом,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поручительством, банковской гарантией, государственной или муниципальной гарантией. 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Предполагается,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невыполнения эмитентом своих обязательств по таким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облигациям погашение задолженности перед владельцами облигаций осуществляется (полностью или частично)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предусмотренного обеспечения. П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>ри покупке облигаций Вам следует обратить внимание как на финансовую устойчивость и добросовестность эмитента, так и на качество обеспечения по облигациям (при наличии).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При сделках с облигациями российских эмитентов взимается комиссия брокера за исполнение поручений, а также может взиматься комиссии биржи и клиринговой организации за совершение сделки, комиссия депозитария за учет права собственности инвестора на облигацию.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При покупке обращающейся на рынке облигации в сумму сделки включается часть купонного процентного дохода по облигации, рассчитываемая пропорционально количеству дней, прошедших от даты предыдущей выплаты купонного дохода до даты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9946C2">
        <w:rPr>
          <w:rFonts w:ascii="Times New Roman" w:hAnsi="Times New Roman" w:cs="Times New Roman"/>
          <w:sz w:val="24"/>
          <w:szCs w:val="24"/>
        </w:rPr>
        <w:t xml:space="preserve"> сделки </w:t>
      </w:r>
      <w:r>
        <w:rPr>
          <w:rFonts w:ascii="Times New Roman" w:hAnsi="Times New Roman" w:cs="Times New Roman"/>
          <w:sz w:val="24"/>
          <w:szCs w:val="24"/>
        </w:rPr>
        <w:t>купли-</w:t>
      </w:r>
      <w:r w:rsidRPr="009946C2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Данный накопленный купонный доход передается продавцу</w:t>
      </w:r>
      <w:r w:rsidRPr="0045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облигации</w:t>
      </w:r>
      <w:r w:rsidRPr="009946C2">
        <w:rPr>
          <w:rFonts w:ascii="Times New Roman" w:hAnsi="Times New Roman" w:cs="Times New Roman"/>
          <w:sz w:val="24"/>
          <w:szCs w:val="24"/>
        </w:rPr>
        <w:t>.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064643" w:rsidRPr="009946C2" w:rsidRDefault="00064643" w:rsidP="00064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064643" w:rsidRDefault="00064643" w:rsidP="00064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E7A" w:rsidRDefault="00410E7A"/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2C" w:rsidRDefault="0094422C" w:rsidP="00064643">
      <w:pPr>
        <w:spacing w:after="0" w:line="240" w:lineRule="auto"/>
      </w:pPr>
      <w:r>
        <w:separator/>
      </w:r>
    </w:p>
  </w:endnote>
  <w:endnote w:type="continuationSeparator" w:id="0">
    <w:p w:rsidR="0094422C" w:rsidRDefault="0094422C" w:rsidP="0006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2C" w:rsidRDefault="0094422C" w:rsidP="00064643">
      <w:pPr>
        <w:spacing w:after="0" w:line="240" w:lineRule="auto"/>
      </w:pPr>
      <w:r>
        <w:separator/>
      </w:r>
    </w:p>
  </w:footnote>
  <w:footnote w:type="continuationSeparator" w:id="0">
    <w:p w:rsidR="0094422C" w:rsidRDefault="0094422C" w:rsidP="00064643">
      <w:pPr>
        <w:spacing w:after="0" w:line="240" w:lineRule="auto"/>
      </w:pPr>
      <w:r>
        <w:continuationSeparator/>
      </w:r>
    </w:p>
  </w:footnote>
  <w:footnote w:id="1">
    <w:p w:rsidR="00064643" w:rsidRPr="00DA75AA" w:rsidRDefault="00064643" w:rsidP="00064643">
      <w:pPr>
        <w:pStyle w:val="a3"/>
        <w:jc w:val="both"/>
        <w:rPr>
          <w:rFonts w:ascii="Times New Roman" w:hAnsi="Times New Roman" w:cs="Times New Roman"/>
        </w:rPr>
      </w:pPr>
      <w:r w:rsidRPr="00373B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73B02">
        <w:rPr>
          <w:rFonts w:ascii="Times New Roman" w:hAnsi="Times New Roman" w:cs="Times New Roman"/>
          <w:sz w:val="24"/>
          <w:szCs w:val="24"/>
        </w:rPr>
        <w:t xml:space="preserve"> </w:t>
      </w:r>
      <w:r w:rsidRPr="00DA75AA">
        <w:rPr>
          <w:rFonts w:ascii="Times New Roman" w:hAnsi="Times New Roman" w:cs="Times New Roman"/>
        </w:rPr>
        <w:t xml:space="preserve">Под обыкновенной облигацией понимается облигация, не являющаяся структурной облигацией, облигацией со структурным доходом (облигацией, размер дохода по которой зависит от наступления или </w:t>
      </w:r>
      <w:proofErr w:type="spellStart"/>
      <w:r w:rsidRPr="00DA75AA">
        <w:rPr>
          <w:rFonts w:ascii="Times New Roman" w:hAnsi="Times New Roman" w:cs="Times New Roman"/>
        </w:rPr>
        <w:t>ненаступления</w:t>
      </w:r>
      <w:proofErr w:type="spellEnd"/>
      <w:r w:rsidRPr="00DA75AA">
        <w:rPr>
          <w:rFonts w:ascii="Times New Roman" w:hAnsi="Times New Roman" w:cs="Times New Roman"/>
        </w:rPr>
        <w:t xml:space="preserve"> одного или нескольких обстоятельств, указанных в абзаце втором подпункта 23 пункта 1 статьи 2 Федерального закона от 22.04.1996 №  39-Ф3 «О рынке ценных бумаг»), субординированной облигацией, облигацией без срока погашения, конвертируемой облигацией, коммерческой облигацией, облигацией федерального займа для физических лиц (ОФЗ-н), </w:t>
      </w:r>
      <w:r w:rsidRPr="00B54193">
        <w:rPr>
          <w:rFonts w:ascii="Times New Roman" w:hAnsi="Times New Roman" w:cs="Times New Roman"/>
        </w:rPr>
        <w:t>замещающей облигацией</w:t>
      </w:r>
      <w:r w:rsidRPr="00F83C4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облигацией, пред</w:t>
      </w:r>
      <w:r w:rsidRPr="00F83C4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смотренной статьей 6 </w:t>
      </w:r>
      <w:r w:rsidRPr="00F83C4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F83C4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F83C47">
        <w:rPr>
          <w:rFonts w:ascii="Times New Roman" w:hAnsi="Times New Roman" w:cs="Times New Roman"/>
        </w:rPr>
        <w:t xml:space="preserve"> от 14.07.2022 </w:t>
      </w:r>
      <w:r>
        <w:rPr>
          <w:rFonts w:ascii="Times New Roman" w:hAnsi="Times New Roman" w:cs="Times New Roman"/>
        </w:rPr>
        <w:t xml:space="preserve">№ 319-ФЗ </w:t>
      </w:r>
      <w:r w:rsidRPr="00DA75AA">
        <w:rPr>
          <w:rFonts w:ascii="Times New Roman" w:hAnsi="Times New Roman" w:cs="Times New Roman"/>
        </w:rPr>
        <w:t>«</w:t>
      </w:r>
      <w:r w:rsidRPr="00F83C47">
        <w:rPr>
          <w:rFonts w:ascii="Times New Roman" w:hAnsi="Times New Roman" w:cs="Times New Roman"/>
        </w:rPr>
        <w:t>О внесении изменений в отдельные законодате</w:t>
      </w:r>
      <w:r>
        <w:rPr>
          <w:rFonts w:ascii="Times New Roman" w:hAnsi="Times New Roman" w:cs="Times New Roman"/>
        </w:rPr>
        <w:t>льные акты Российской Федерации</w:t>
      </w:r>
      <w:r w:rsidRPr="00DA75A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  <w:r w:rsidRPr="00B541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3C47">
        <w:rPr>
          <w:rFonts w:ascii="Times New Roman" w:hAnsi="Times New Roman" w:cs="Times New Roman"/>
        </w:rPr>
        <w:t>облигацией с залоговым обеспечением денежными требованиями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43"/>
    <w:rsid w:val="00064643"/>
    <w:rsid w:val="00410E7A"/>
    <w:rsid w:val="009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E8D0-2459-4291-B4A5-4D7D149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64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64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2024-05-28T09:58:00Z</dcterms:created>
  <dcterms:modified xsi:type="dcterms:W3CDTF">2024-05-28T10:00:00Z</dcterms:modified>
</cp:coreProperties>
</file>