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33" w:rsidRPr="007020B1" w:rsidRDefault="00E01233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01233" w:rsidRPr="007020B1" w:rsidRDefault="00E01233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01233" w:rsidRPr="00AA498E" w:rsidRDefault="00E01233" w:rsidP="005635DD">
      <w:pPr>
        <w:jc w:val="right"/>
        <w:rPr>
          <w:rFonts w:ascii="Cambria" w:hAnsi="Cambria"/>
        </w:rPr>
      </w:pPr>
    </w:p>
    <w:p w:rsidR="00E01233" w:rsidRPr="00AA498E" w:rsidRDefault="00E01233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01233" w:rsidRPr="006132E8" w:rsidRDefault="00E01233" w:rsidP="005635DD">
      <w:pPr>
        <w:spacing w:before="100" w:beforeAutospacing="1" w:after="100" w:afterAutospacing="1"/>
        <w:jc w:val="center"/>
        <w:outlineLvl w:val="0"/>
        <w:rPr>
          <w:b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657405">
        <w:rPr>
          <w:b/>
        </w:rPr>
        <w:t>2</w:t>
      </w:r>
      <w:r w:rsidR="00657405" w:rsidRPr="00657405">
        <w:rPr>
          <w:b/>
        </w:rPr>
        <w:t>52</w:t>
      </w:r>
      <w:r w:rsidR="00657405">
        <w:rPr>
          <w:b/>
        </w:rPr>
        <w:t>-</w:t>
      </w:r>
      <w:r w:rsidR="00657405" w:rsidRPr="00657405">
        <w:rPr>
          <w:b/>
        </w:rPr>
        <w:t>18</w:t>
      </w:r>
      <w:r w:rsidR="00657405">
        <w:rPr>
          <w:b/>
        </w:rPr>
        <w:t>/</w:t>
      </w:r>
      <w:r w:rsidR="00657405" w:rsidRPr="00657405">
        <w:rPr>
          <w:b/>
        </w:rPr>
        <w:t>12</w:t>
      </w:r>
      <w:r w:rsidR="00657405">
        <w:rPr>
          <w:b/>
        </w:rPr>
        <w:t>/</w:t>
      </w:r>
      <w:r w:rsidR="00657405" w:rsidRPr="00657405">
        <w:rPr>
          <w:b/>
        </w:rPr>
        <w:t>20</w:t>
      </w:r>
      <w:r w:rsidRPr="00764761">
        <w:rPr>
          <w:b/>
        </w:rPr>
        <w:t xml:space="preserve"> на</w:t>
      </w:r>
      <w:r>
        <w:rPr>
          <w:b/>
        </w:rPr>
        <w:t xml:space="preserve"> </w:t>
      </w:r>
      <w:r w:rsidR="006132E8" w:rsidRPr="006132E8">
        <w:rPr>
          <w:b/>
        </w:rPr>
        <w:t>услуг</w:t>
      </w:r>
      <w:r w:rsidR="00657405">
        <w:rPr>
          <w:b/>
        </w:rPr>
        <w:t>и</w:t>
      </w:r>
      <w:r w:rsidR="006132E8" w:rsidRPr="006132E8">
        <w:rPr>
          <w:b/>
        </w:rPr>
        <w:t xml:space="preserve"> технической поддержки от компании </w:t>
      </w:r>
      <w:proofErr w:type="spellStart"/>
      <w:r w:rsidR="006132E8" w:rsidRPr="006132E8">
        <w:rPr>
          <w:b/>
        </w:rPr>
        <w:t>Cisco</w:t>
      </w:r>
      <w:proofErr w:type="spellEnd"/>
      <w:r w:rsidR="00657405">
        <w:rPr>
          <w:b/>
        </w:rPr>
        <w:t>.</w:t>
      </w:r>
    </w:p>
    <w:p w:rsidR="00E01233" w:rsidRPr="006C0875" w:rsidRDefault="00E01233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>
        <w:rPr>
          <w:rFonts w:ascii="Cambria" w:hAnsi="Cambria"/>
        </w:rPr>
        <w:t xml:space="preserve"> </w:t>
      </w:r>
      <w:r w:rsidR="00657405">
        <w:rPr>
          <w:b/>
        </w:rPr>
        <w:t>252-18/12/20</w:t>
      </w:r>
    </w:p>
    <w:p w:rsidR="00E01233" w:rsidRPr="00FC18C2" w:rsidRDefault="00E01233" w:rsidP="005635DD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– </w:t>
      </w:r>
      <w:r>
        <w:rPr>
          <w:rFonts w:ascii="Cambria" w:hAnsi="Cambria"/>
        </w:rPr>
        <w:t xml:space="preserve"> </w:t>
      </w:r>
      <w:r w:rsidRPr="00764761">
        <w:rPr>
          <w:rFonts w:ascii="Cambria" w:hAnsi="Cambria"/>
        </w:rPr>
        <w:t>выбор поставщика</w:t>
      </w:r>
      <w:r>
        <w:rPr>
          <w:rFonts w:ascii="Cambria" w:hAnsi="Cambria"/>
        </w:rPr>
        <w:t xml:space="preserve"> на право заключения договора </w:t>
      </w:r>
      <w:r w:rsidR="006132E8" w:rsidRPr="007C7653">
        <w:rPr>
          <w:rFonts w:ascii="Cambria" w:hAnsi="Cambria"/>
        </w:rPr>
        <w:t xml:space="preserve">оказание услуг технической поддержки от компании </w:t>
      </w:r>
      <w:proofErr w:type="spellStart"/>
      <w:r w:rsidR="006132E8" w:rsidRPr="007C7653">
        <w:rPr>
          <w:rFonts w:ascii="Cambria" w:hAnsi="Cambria"/>
        </w:rPr>
        <w:t>Cisco</w:t>
      </w:r>
      <w:proofErr w:type="spellEnd"/>
      <w:r w:rsidR="006132E8" w:rsidRPr="007C7653">
        <w:rPr>
          <w:rFonts w:ascii="Cambria" w:hAnsi="Cambria"/>
        </w:rPr>
        <w:t>.</w:t>
      </w:r>
    </w:p>
    <w:p w:rsidR="00E01233" w:rsidRPr="004B2B98" w:rsidRDefault="00E01233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6132E8" w:rsidRPr="00A854A8" w:rsidRDefault="00657405" w:rsidP="00130F2A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23.12.2020 г.</w:t>
            </w:r>
          </w:p>
        </w:tc>
      </w:tr>
      <w:tr w:rsidR="00E7325B" w:rsidRPr="006E444A" w:rsidTr="006132E8">
        <w:trPr>
          <w:trHeight w:val="377"/>
        </w:trPr>
        <w:tc>
          <w:tcPr>
            <w:tcW w:w="6379" w:type="dxa"/>
          </w:tcPr>
          <w:p w:rsidR="00E7325B" w:rsidRPr="006E444A" w:rsidRDefault="00E7325B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Merge w:val="restart"/>
            <w:vAlign w:val="center"/>
          </w:tcPr>
          <w:p w:rsidR="00E7325B" w:rsidRPr="00F900AA" w:rsidRDefault="00E7325B" w:rsidP="00657405">
            <w:pPr>
              <w:ind w:left="-258"/>
              <w:jc w:val="center"/>
              <w:rPr>
                <w:rFonts w:ascii="Cambria" w:hAnsi="Cambria"/>
              </w:rPr>
            </w:pPr>
            <w:r w:rsidRPr="000E3EEF"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</w:rPr>
              <w:t xml:space="preserve">29.01.2021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E7325B" w:rsidRPr="006E444A" w:rsidTr="006132E8">
        <w:trPr>
          <w:trHeight w:val="330"/>
        </w:trPr>
        <w:tc>
          <w:tcPr>
            <w:tcW w:w="6379" w:type="dxa"/>
          </w:tcPr>
          <w:p w:rsidR="00E7325B" w:rsidRPr="006E444A" w:rsidRDefault="00E7325B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Merge/>
            <w:vAlign w:val="center"/>
          </w:tcPr>
          <w:p w:rsidR="00E7325B" w:rsidRPr="00F900AA" w:rsidRDefault="00E7325B" w:rsidP="00657405">
            <w:pPr>
              <w:ind w:left="-258"/>
              <w:jc w:val="center"/>
              <w:rPr>
                <w:rFonts w:ascii="Cambria" w:hAnsi="Cambria"/>
              </w:rPr>
            </w:pPr>
          </w:p>
        </w:tc>
      </w:tr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CB312B" w:rsidP="00130F2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E7325B">
              <w:rPr>
                <w:rFonts w:ascii="Cambria" w:hAnsi="Cambria"/>
                <w:noProof/>
                <w:szCs w:val="22"/>
              </w:rPr>
              <w:t>03.02</w:t>
            </w:r>
            <w:r w:rsidR="00657405">
              <w:rPr>
                <w:rFonts w:ascii="Cambria" w:hAnsi="Cambria"/>
                <w:noProof/>
                <w:szCs w:val="22"/>
              </w:rPr>
              <w:t>.2021</w:t>
            </w:r>
            <w:r w:rsidR="006132E8">
              <w:rPr>
                <w:rFonts w:ascii="Cambria" w:hAnsi="Cambria"/>
                <w:noProof/>
                <w:szCs w:val="22"/>
              </w:rPr>
              <w:t xml:space="preserve">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6E444A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6132E8" w:rsidRDefault="00E7325B" w:rsidP="00130F2A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  <w:r>
              <w:rPr>
                <w:rFonts w:ascii="Cambria" w:hAnsi="Cambria"/>
                <w:noProof/>
                <w:szCs w:val="22"/>
              </w:rPr>
              <w:t>09.02.2021</w:t>
            </w:r>
          </w:p>
        </w:tc>
      </w:tr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6132E8" w:rsidRDefault="006132E8" w:rsidP="00130F2A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</w:p>
          <w:p w:rsidR="006132E8" w:rsidRPr="00F900AA" w:rsidRDefault="00E7325B" w:rsidP="00130F2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15.02.2021</w:t>
            </w:r>
          </w:p>
        </w:tc>
      </w:tr>
    </w:tbl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</w:t>
      </w:r>
      <w:bookmarkStart w:id="0" w:name="_GoBack"/>
      <w:bookmarkEnd w:id="0"/>
      <w:r w:rsidRPr="00AA498E">
        <w:rPr>
          <w:rFonts w:ascii="Cambria" w:hAnsi="Cambria"/>
          <w:sz w:val="24"/>
        </w:rPr>
        <w:t xml:space="preserve">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E01233" w:rsidRPr="00845989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6132E8">
        <w:rPr>
          <w:rFonts w:ascii="Cambria" w:hAnsi="Cambria"/>
          <w:sz w:val="24"/>
          <w:lang w:val="ru-RU"/>
        </w:rPr>
        <w:t>Киямовой</w:t>
      </w:r>
      <w:proofErr w:type="spellEnd"/>
      <w:r w:rsidR="006132E8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6132E8">
        <w:rPr>
          <w:rFonts w:ascii="Cambria" w:hAnsi="Cambria"/>
          <w:sz w:val="24"/>
          <w:lang w:val="ru-RU"/>
        </w:rPr>
        <w:t>Абузяровне</w:t>
      </w:r>
      <w:proofErr w:type="spellEnd"/>
      <w:r w:rsidR="006132E8">
        <w:rPr>
          <w:rFonts w:ascii="Cambria" w:hAnsi="Cambria"/>
          <w:sz w:val="24"/>
          <w:lang w:val="ru-RU"/>
        </w:rPr>
        <w:t xml:space="preserve"> тел.</w:t>
      </w:r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6132E8">
        <w:rPr>
          <w:rFonts w:ascii="Cambria" w:hAnsi="Cambria"/>
          <w:sz w:val="24"/>
          <w:lang w:val="ru-RU"/>
        </w:rPr>
        <w:t>28-73</w:t>
      </w:r>
      <w:r>
        <w:rPr>
          <w:rFonts w:ascii="Cambria" w:hAnsi="Cambria"/>
          <w:sz w:val="24"/>
        </w:rPr>
        <w:t>.</w:t>
      </w:r>
    </w:p>
    <w:p w:rsidR="00E01233" w:rsidRPr="007C0EDB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E01233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E01233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hyperlink r:id="rId9" w:history="1">
        <w:r w:rsidR="006132E8" w:rsidRPr="00707191">
          <w:rPr>
            <w:rStyle w:val="a5"/>
            <w:rFonts w:ascii="Cambria" w:hAnsi="Cambria"/>
            <w:sz w:val="24"/>
          </w:rPr>
          <w:t>parshin@tkbbank.ru</w:t>
        </w:r>
      </w:hyperlink>
      <w:r w:rsidR="006132E8">
        <w:rPr>
          <w:rFonts w:ascii="Cambria" w:hAnsi="Cambria"/>
          <w:sz w:val="24"/>
          <w:lang w:val="ru-RU"/>
        </w:rPr>
        <w:t xml:space="preserve"> </w:t>
      </w:r>
    </w:p>
    <w:p w:rsidR="00E01233" w:rsidRPr="009D5F48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 xml:space="preserve">Сидорец Анастасия </w:t>
      </w:r>
      <w:r>
        <w:rPr>
          <w:rFonts w:ascii="Cambria" w:hAnsi="Cambria"/>
          <w:sz w:val="24"/>
          <w:lang w:val="ru-RU"/>
        </w:rPr>
        <w:lastRenderedPageBreak/>
        <w:t>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01233" w:rsidRPr="005F1060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01233" w:rsidRPr="00AA498E" w:rsidRDefault="00E01233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</w:t>
      </w:r>
      <w:proofErr w:type="gramStart"/>
      <w:r w:rsidRPr="00FC18C2">
        <w:rPr>
          <w:rFonts w:ascii="Cambria" w:hAnsi="Cambria"/>
          <w:sz w:val="24"/>
          <w:szCs w:val="24"/>
        </w:rPr>
        <w:t>отношении</w:t>
      </w:r>
      <w:proofErr w:type="gramEnd"/>
      <w:r w:rsidRPr="00FC18C2">
        <w:rPr>
          <w:rFonts w:ascii="Cambria" w:hAnsi="Cambria"/>
          <w:sz w:val="24"/>
          <w:szCs w:val="24"/>
        </w:rPr>
        <w:t xml:space="preserve"> компании не должна вестись процедура банкротства.</w:t>
      </w:r>
    </w:p>
    <w:p w:rsidR="00E01233" w:rsidRPr="00AA498E" w:rsidRDefault="00E01233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01233" w:rsidRPr="00AA498E" w:rsidRDefault="00E01233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01233" w:rsidRDefault="00E01233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1" w:history="1">
        <w:r w:rsidRPr="00D86A9D">
          <w:rPr>
            <w:rStyle w:val="a5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E01233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E01233" w:rsidRPr="00017D07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01233" w:rsidRPr="00017D07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lastRenderedPageBreak/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01233" w:rsidRPr="00F25D0F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01233" w:rsidRPr="00F2022A" w:rsidRDefault="00E01233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01233" w:rsidRDefault="00E01233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01233" w:rsidRPr="00410CD5" w:rsidRDefault="00E01233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01233" w:rsidRPr="009B5C0A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2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01233" w:rsidRPr="008349EC" w:rsidRDefault="00E01233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E01233" w:rsidRPr="000B1306" w:rsidRDefault="00E01233" w:rsidP="005635DD">
      <w:pPr>
        <w:pStyle w:val="a9"/>
        <w:numPr>
          <w:ilvl w:val="2"/>
          <w:numId w:val="5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0B1306" w:rsidRDefault="00E01233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0B1306" w:rsidRDefault="00E01233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lastRenderedPageBreak/>
        <w:t>Конкурсное предложение предоставляется в электронном виде.</w:t>
      </w:r>
    </w:p>
    <w:p w:rsidR="00E01233" w:rsidRPr="00B244ED" w:rsidRDefault="00E01233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3" w:history="1">
        <w:r w:rsidRPr="00051802">
          <w:rPr>
            <w:rStyle w:val="a5"/>
            <w:rFonts w:ascii="Cambria" w:hAnsi="Cambria"/>
            <w:sz w:val="24"/>
            <w:lang w:val="en-US"/>
          </w:rPr>
          <w:t>t</w:t>
        </w:r>
        <w:r w:rsidRPr="00051802">
          <w:rPr>
            <w:rStyle w:val="a5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01233" w:rsidRPr="00137746" w:rsidRDefault="00E01233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01233" w:rsidRPr="00427004" w:rsidRDefault="00E01233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01233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01233" w:rsidRPr="009D5F48" w:rsidRDefault="00E01233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F42905">
        <w:rPr>
          <w:rFonts w:ascii="Cambria" w:hAnsi="Cambria"/>
        </w:rPr>
        <w:t>валюте Приложения №5 к Тендерной документации,</w:t>
      </w:r>
      <w:r>
        <w:rPr>
          <w:rFonts w:ascii="Cambria" w:hAnsi="Cambria"/>
        </w:rPr>
        <w:t xml:space="preserve"> с учетом НДС;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</w:t>
      </w:r>
      <w:r w:rsidR="00F42905">
        <w:rPr>
          <w:rFonts w:ascii="Cambria" w:eastAsia="Arial Unicode MS" w:hAnsi="Cambria"/>
          <w:sz w:val="24"/>
          <w:szCs w:val="28"/>
          <w:lang w:val="ru-RU"/>
        </w:rPr>
        <w:t xml:space="preserve"> валюте, указанной в Приложении №5 к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ов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01233" w:rsidRPr="00E23324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01233" w:rsidRPr="00AA498E" w:rsidRDefault="00E01233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01233" w:rsidRDefault="00E01233">
      <w:r>
        <w:br w:type="page"/>
      </w:r>
    </w:p>
    <w:p w:rsidR="00E01233" w:rsidRPr="00AA498E" w:rsidRDefault="00E01233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E01233" w:rsidRPr="009840D5" w:rsidRDefault="00E01233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657405">
        <w:rPr>
          <w:rFonts w:ascii="Cambria" w:hAnsi="Cambria"/>
          <w:noProof/>
          <w:sz w:val="20"/>
          <w:szCs w:val="20"/>
        </w:rPr>
        <w:t>252-18/12/20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764761">
      <w:pPr>
        <w:widowControl w:val="0"/>
        <w:rPr>
          <w:rFonts w:ascii="Cambria" w:hAnsi="Cambria"/>
          <w:b/>
          <w:bCs/>
        </w:rPr>
      </w:pPr>
    </w:p>
    <w:p w:rsidR="00E01233" w:rsidRPr="007036DD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Pr="004B2B98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01233" w:rsidRPr="00382EAC" w:rsidRDefault="00E01233" w:rsidP="00764761">
      <w:pPr>
        <w:pStyle w:val="a9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9D5F48">
        <w:rPr>
          <w:rFonts w:ascii="Cambria" w:eastAsia="Arial Unicode MS" w:hAnsi="Cambria"/>
          <w:sz w:val="24"/>
          <w:szCs w:val="28"/>
        </w:rPr>
        <w:t xml:space="preserve">выбор поставщика на право заключения </w:t>
      </w:r>
      <w:r w:rsidR="00657405">
        <w:rPr>
          <w:rFonts w:ascii="Cambria" w:eastAsia="Arial Unicode MS" w:hAnsi="Cambria"/>
          <w:sz w:val="24"/>
          <w:szCs w:val="28"/>
          <w:lang w:val="ru-RU"/>
        </w:rPr>
        <w:t xml:space="preserve">договора </w:t>
      </w:r>
      <w:r w:rsidR="006132E8" w:rsidRPr="007C7653">
        <w:rPr>
          <w:rFonts w:ascii="Cambria" w:hAnsi="Cambria"/>
          <w:sz w:val="24"/>
          <w:lang w:eastAsia="ru-RU"/>
        </w:rPr>
        <w:t>оказание услуг техничес</w:t>
      </w:r>
      <w:r w:rsidR="006132E8">
        <w:rPr>
          <w:rFonts w:ascii="Cambria" w:hAnsi="Cambria"/>
          <w:sz w:val="24"/>
          <w:lang w:eastAsia="ru-RU"/>
        </w:rPr>
        <w:t xml:space="preserve">кой поддержки от компании </w:t>
      </w:r>
      <w:proofErr w:type="spellStart"/>
      <w:r w:rsidR="006132E8">
        <w:rPr>
          <w:rFonts w:ascii="Cambria" w:hAnsi="Cambria"/>
          <w:sz w:val="24"/>
          <w:lang w:eastAsia="ru-RU"/>
        </w:rPr>
        <w:t>Cisc</w:t>
      </w:r>
      <w:r w:rsidR="006132E8">
        <w:rPr>
          <w:rFonts w:ascii="Cambria" w:hAnsi="Cambria"/>
          <w:sz w:val="24"/>
          <w:lang w:val="en-US" w:eastAsia="ru-RU"/>
        </w:rPr>
        <w:t>o</w:t>
      </w:r>
      <w:proofErr w:type="spellEnd"/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</w:t>
      </w:r>
      <w:r w:rsidR="00812FF6">
        <w:rPr>
          <w:rFonts w:ascii="Cambria" w:eastAsia="Arial Unicode MS" w:hAnsi="Cambria"/>
          <w:sz w:val="24"/>
          <w:szCs w:val="28"/>
          <w:lang w:val="ru-RU"/>
        </w:rPr>
        <w:t>приведенной</w:t>
      </w:r>
      <w:r w:rsidRPr="004B2B98">
        <w:rPr>
          <w:rFonts w:ascii="Cambria" w:eastAsia="Arial Unicode MS" w:hAnsi="Cambria"/>
          <w:sz w:val="24"/>
          <w:szCs w:val="28"/>
        </w:rPr>
        <w:t xml:space="preserve"> в Приложении 5</w:t>
      </w:r>
      <w:r w:rsidRPr="00322084">
        <w:rPr>
          <w:rFonts w:ascii="Cambria" w:eastAsia="Arial Unicode MS" w:hAnsi="Cambria"/>
          <w:sz w:val="24"/>
          <w:szCs w:val="28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01233" w:rsidRPr="004B2B98" w:rsidRDefault="00E01233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E01233" w:rsidRPr="00382EAC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E01233">
        <w:rPr>
          <w:rFonts w:ascii="Cambria" w:hAnsi="Cambria"/>
          <w:sz w:val="24"/>
          <w:lang w:val="x-none" w:eastAsia="x-none"/>
        </w:rPr>
        <w:t xml:space="preserve">желательна </w:t>
      </w:r>
      <w:proofErr w:type="spellStart"/>
      <w:r w:rsidRPr="00E01233">
        <w:rPr>
          <w:rFonts w:ascii="Cambria" w:hAnsi="Cambria"/>
          <w:sz w:val="24"/>
          <w:lang w:val="x-none" w:eastAsia="x-none"/>
        </w:rPr>
        <w:t>постоплата</w:t>
      </w:r>
      <w:proofErr w:type="spellEnd"/>
      <w:r w:rsidRPr="00382EAC">
        <w:rPr>
          <w:rFonts w:ascii="Cambria" w:hAnsi="Cambria"/>
          <w:sz w:val="24"/>
          <w:lang w:val="x-none" w:eastAsia="x-none"/>
        </w:rPr>
        <w:t>.</w:t>
      </w:r>
    </w:p>
    <w:p w:rsidR="00E01233" w:rsidRPr="004B2B98" w:rsidRDefault="00E01233" w:rsidP="00764761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E01233" w:rsidRPr="00382EAC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3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заключение договора по форме Банка.</w:t>
      </w: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4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>
        <w:rPr>
          <w:rFonts w:ascii="Cambria" w:eastAsia="Arial Unicode MS" w:hAnsi="Cambria"/>
          <w:sz w:val="24"/>
          <w:szCs w:val="28"/>
        </w:rPr>
        <w:t xml:space="preserve">Требования к </w:t>
      </w:r>
      <w:r>
        <w:rPr>
          <w:rFonts w:ascii="Cambria" w:eastAsia="Arial Unicode MS" w:hAnsi="Cambria"/>
          <w:sz w:val="24"/>
          <w:szCs w:val="28"/>
          <w:lang w:val="ru-RU"/>
        </w:rPr>
        <w:t>Конкурсной</w:t>
      </w:r>
      <w:r w:rsidRPr="00382EAC">
        <w:rPr>
          <w:rFonts w:ascii="Cambria" w:eastAsia="Arial Unicode MS" w:hAnsi="Cambria"/>
          <w:sz w:val="24"/>
          <w:szCs w:val="28"/>
        </w:rPr>
        <w:t xml:space="preserve">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Конкурсное предложение</w:t>
      </w:r>
      <w:r w:rsidRPr="004B2B98">
        <w:rPr>
          <w:rFonts w:ascii="Cambria" w:eastAsia="Arial Unicode MS" w:hAnsi="Cambria"/>
          <w:sz w:val="24"/>
          <w:szCs w:val="28"/>
        </w:rPr>
        <w:t xml:space="preserve">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>, и детальную характеристику</w:t>
      </w:r>
      <w:r w:rsidRPr="004B2B98">
        <w:rPr>
          <w:rFonts w:ascii="Cambria" w:eastAsia="Arial Unicode MS" w:hAnsi="Cambria"/>
          <w:sz w:val="24"/>
          <w:szCs w:val="28"/>
        </w:rPr>
        <w:t xml:space="preserve"> предложения по составу и стоимости услуг.</w:t>
      </w:r>
    </w:p>
    <w:p w:rsidR="00E01233" w:rsidRDefault="00E01233">
      <w:pPr>
        <w:rPr>
          <w:lang w:val="x-none"/>
        </w:rPr>
      </w:pPr>
      <w:r>
        <w:rPr>
          <w:lang w:val="x-none"/>
        </w:rPr>
        <w:br w:type="page"/>
      </w:r>
    </w:p>
    <w:p w:rsidR="00E01233" w:rsidRPr="00AA498E" w:rsidRDefault="00E01233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01233" w:rsidRPr="00774324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657405">
        <w:rPr>
          <w:rFonts w:ascii="Cambria" w:hAnsi="Cambria"/>
          <w:sz w:val="20"/>
          <w:szCs w:val="20"/>
        </w:rPr>
        <w:t>252-18/12/20</w:t>
      </w:r>
      <w:r w:rsidR="006132E8">
        <w:rPr>
          <w:rFonts w:ascii="Cambria" w:hAnsi="Cambria"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01233" w:rsidRPr="005B6FA5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01233" w:rsidRPr="00AA498E" w:rsidRDefault="00E01233" w:rsidP="00443A1C">
      <w:pPr>
        <w:pStyle w:val="2"/>
        <w:rPr>
          <w:rFonts w:ascii="Cambria" w:hAnsi="Cambria"/>
        </w:rPr>
      </w:pPr>
    </w:p>
    <w:p w:rsidR="00E01233" w:rsidRPr="00AA498E" w:rsidRDefault="00E01233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01233" w:rsidRPr="00AA498E" w:rsidRDefault="00E01233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01233" w:rsidRPr="00AA498E" w:rsidRDefault="00E01233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01233" w:rsidRPr="00AA498E" w:rsidRDefault="00E01233" w:rsidP="00443A1C">
      <w:pPr>
        <w:rPr>
          <w:rFonts w:ascii="Cambria" w:hAnsi="Cambria"/>
          <w:b/>
          <w:i/>
        </w:rPr>
      </w:pPr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657405">
        <w:rPr>
          <w:rFonts w:ascii="Cambria" w:hAnsi="Cambria"/>
          <w:noProof/>
          <w:sz w:val="20"/>
          <w:szCs w:val="20"/>
        </w:rPr>
        <w:t>252-18/12/20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ind w:firstLine="709"/>
        <w:jc w:val="right"/>
        <w:rPr>
          <w:rFonts w:ascii="Cambria" w:hAnsi="Cambria"/>
          <w:b/>
          <w:i/>
        </w:rPr>
      </w:pPr>
    </w:p>
    <w:p w:rsidR="00E01233" w:rsidRPr="00AA498E" w:rsidRDefault="00E01233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5E4BD7" w:rsidRDefault="00E01233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E01233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01233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657405">
        <w:rPr>
          <w:rFonts w:ascii="Cambria" w:hAnsi="Cambria"/>
          <w:noProof/>
          <w:sz w:val="20"/>
          <w:szCs w:val="20"/>
        </w:rPr>
        <w:t>252-18/12/20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661B36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01233" w:rsidRPr="00322084" w:rsidRDefault="00E01233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  <w:r w:rsidR="00657405">
        <w:rPr>
          <w:rFonts w:ascii="Cambria" w:eastAsia="Times New Roman" w:hAnsi="Cambria" w:cs="Arial"/>
          <w:color w:val="auto"/>
          <w:kern w:val="32"/>
        </w:rPr>
        <w:t>252-18/12/20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01233" w:rsidRPr="00661B36" w:rsidRDefault="00E01233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01233" w:rsidRPr="00AA498E" w:rsidRDefault="00E01233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657405">
        <w:rPr>
          <w:rFonts w:ascii="Cambria" w:hAnsi="Cambria"/>
          <w:noProof/>
        </w:rPr>
        <w:t>252-18/12/20</w:t>
      </w:r>
      <w:r w:rsidR="006132E8">
        <w:rPr>
          <w:rFonts w:ascii="Cambria" w:hAnsi="Cambria"/>
          <w:noProof/>
        </w:rPr>
        <w:t xml:space="preserve"> </w:t>
      </w:r>
      <w:r w:rsidRPr="00AA498E">
        <w:rPr>
          <w:rFonts w:ascii="Cambria" w:hAnsi="Cambria"/>
        </w:rPr>
        <w:t xml:space="preserve"> 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01233" w:rsidRPr="00AA498E" w:rsidRDefault="00E01233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>., в том числе НДС.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01233" w:rsidRPr="00661B36" w:rsidRDefault="00E01233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01233" w:rsidRDefault="00E01233" w:rsidP="00443A1C">
      <w:pPr>
        <w:spacing w:before="120"/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>
        <w:rPr>
          <w:rFonts w:ascii="Cambria" w:hAnsi="Cambria"/>
          <w:noProof/>
          <w:sz w:val="20"/>
          <w:szCs w:val="20"/>
        </w:rPr>
        <w:t xml:space="preserve"> </w:t>
      </w:r>
      <w:r w:rsidR="00657405">
        <w:rPr>
          <w:rFonts w:ascii="Cambria" w:hAnsi="Cambria"/>
          <w:noProof/>
          <w:sz w:val="20"/>
          <w:szCs w:val="20"/>
        </w:rPr>
        <w:t>252-18/12/20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E01233" w:rsidRDefault="00E01233" w:rsidP="00443A1C">
      <w:pPr>
        <w:pStyle w:val="ab"/>
        <w:rPr>
          <w:rFonts w:ascii="Cambria" w:hAnsi="Cambria"/>
          <w:szCs w:val="24"/>
        </w:rPr>
      </w:pPr>
    </w:p>
    <w:p w:rsidR="00E01233" w:rsidRPr="00661B36" w:rsidRDefault="00E01233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01233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01233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</w:t>
      </w:r>
      <w:proofErr w:type="gramStart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соответствии</w:t>
      </w:r>
      <w:proofErr w:type="gramEnd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01233" w:rsidRPr="00C818D6" w:rsidRDefault="00E01233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657405">
        <w:rPr>
          <w:rFonts w:ascii="Cambria" w:hAnsi="Cambria"/>
          <w:noProof/>
          <w:sz w:val="20"/>
          <w:szCs w:val="20"/>
        </w:rPr>
        <w:t>252-18/12/20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2"/>
        <w:ind w:firstLine="567"/>
        <w:rPr>
          <w:rFonts w:ascii="Cambria" w:hAnsi="Cambria"/>
          <w:szCs w:val="24"/>
        </w:rPr>
      </w:pPr>
    </w:p>
    <w:p w:rsidR="00E01233" w:rsidRPr="00443A1C" w:rsidRDefault="00E01233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01233" w:rsidRPr="00443A1C" w:rsidRDefault="00E01233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01233" w:rsidRPr="00443A1C" w:rsidRDefault="00E01233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01233" w:rsidRPr="00661B36" w:rsidRDefault="00E01233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</w:t>
      </w:r>
      <w:proofErr w:type="gramStart"/>
      <w:r w:rsidRPr="00661B36">
        <w:rPr>
          <w:rFonts w:ascii="Cambria" w:hAnsi="Cambria"/>
          <w:color w:val="FF0000"/>
        </w:rPr>
        <w:t>порядке</w:t>
      </w:r>
      <w:proofErr w:type="gramEnd"/>
      <w:r w:rsidRPr="00661B36">
        <w:rPr>
          <w:rFonts w:ascii="Cambria" w:hAnsi="Cambria"/>
          <w:color w:val="FF0000"/>
        </w:rPr>
        <w:t xml:space="preserve">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01233" w:rsidRDefault="00E01233">
      <w:pPr>
        <w:rPr>
          <w:lang w:val="x-none"/>
        </w:rPr>
        <w:sectPr w:rsidR="00E01233" w:rsidSect="00E0123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01233" w:rsidRPr="00764761" w:rsidRDefault="00E01233">
      <w:pPr>
        <w:rPr>
          <w:lang w:val="x-none"/>
        </w:rPr>
      </w:pPr>
    </w:p>
    <w:sectPr w:rsidR="00E01233" w:rsidRPr="00764761" w:rsidSect="00E012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33" w:rsidRDefault="00E01233" w:rsidP="005635DD">
      <w:r>
        <w:separator/>
      </w:r>
    </w:p>
  </w:endnote>
  <w:endnote w:type="continuationSeparator" w:id="0">
    <w:p w:rsidR="00E01233" w:rsidRDefault="00E01233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33" w:rsidRDefault="00E01233" w:rsidP="005635DD">
      <w:r>
        <w:separator/>
      </w:r>
    </w:p>
  </w:footnote>
  <w:footnote w:type="continuationSeparator" w:id="0">
    <w:p w:rsidR="00E01233" w:rsidRDefault="00E01233" w:rsidP="005635DD">
      <w:r>
        <w:continuationSeparator/>
      </w:r>
    </w:p>
  </w:footnote>
  <w:footnote w:id="1">
    <w:p w:rsidR="00E01233" w:rsidRDefault="00E01233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D"/>
    <w:rsid w:val="000F2BCA"/>
    <w:rsid w:val="00137A8B"/>
    <w:rsid w:val="001D141E"/>
    <w:rsid w:val="00211ACE"/>
    <w:rsid w:val="00290D9B"/>
    <w:rsid w:val="00322084"/>
    <w:rsid w:val="00434DE6"/>
    <w:rsid w:val="00443A1C"/>
    <w:rsid w:val="005635DD"/>
    <w:rsid w:val="006132E8"/>
    <w:rsid w:val="00657405"/>
    <w:rsid w:val="00750B47"/>
    <w:rsid w:val="00755AEF"/>
    <w:rsid w:val="00764761"/>
    <w:rsid w:val="00812FF6"/>
    <w:rsid w:val="00A0603F"/>
    <w:rsid w:val="00CB312B"/>
    <w:rsid w:val="00CE40F5"/>
    <w:rsid w:val="00D81941"/>
    <w:rsid w:val="00E01233"/>
    <w:rsid w:val="00E7325B"/>
    <w:rsid w:val="00F42905"/>
    <w:rsid w:val="00F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hyperlink" Target="mailto:tender@tkbba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kbbank.ru/info/ten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nder@tkbban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shin@tkbban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Киямова Лилия </cp:lastModifiedBy>
  <cp:revision>2</cp:revision>
  <dcterms:created xsi:type="dcterms:W3CDTF">2021-01-25T09:24:00Z</dcterms:created>
  <dcterms:modified xsi:type="dcterms:W3CDTF">2021-01-25T09:24:00Z</dcterms:modified>
</cp:coreProperties>
</file>