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66" w:rsidRPr="00117349" w:rsidRDefault="00543F66" w:rsidP="008C4611">
      <w:pPr>
        <w:pStyle w:val="a3"/>
        <w:spacing w:after="0" w:line="360" w:lineRule="auto"/>
        <w:ind w:firstLine="0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</w:t>
      </w:r>
      <w:r w:rsidR="00117349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</w:t>
      </w:r>
      <w:r w:rsidR="00117349">
        <w:rPr>
          <w:color w:val="000000"/>
          <w:sz w:val="22"/>
          <w:szCs w:val="22"/>
        </w:rPr>
        <w:t xml:space="preserve">к </w:t>
      </w:r>
      <w:bookmarkStart w:id="0" w:name="_GoBack"/>
      <w:bookmarkEnd w:id="0"/>
      <w:r>
        <w:rPr>
          <w:color w:val="000000"/>
          <w:sz w:val="22"/>
          <w:szCs w:val="22"/>
        </w:rPr>
        <w:t>Конкурсной документации №</w:t>
      </w:r>
      <w:r w:rsidR="008C4611" w:rsidRPr="008C4611">
        <w:rPr>
          <w:color w:val="000000"/>
          <w:sz w:val="22"/>
          <w:szCs w:val="22"/>
        </w:rPr>
        <w:t>143-15/06/17</w:t>
      </w:r>
      <w:r>
        <w:rPr>
          <w:color w:val="000000"/>
          <w:sz w:val="22"/>
          <w:szCs w:val="22"/>
        </w:rPr>
        <w:t xml:space="preserve"> от «</w:t>
      </w:r>
      <w:r w:rsidR="008C4611" w:rsidRPr="008C4611">
        <w:rPr>
          <w:color w:val="000000"/>
          <w:sz w:val="22"/>
          <w:szCs w:val="22"/>
        </w:rPr>
        <w:t>15</w:t>
      </w:r>
      <w:r w:rsidR="008C4611">
        <w:rPr>
          <w:color w:val="000000"/>
          <w:sz w:val="22"/>
          <w:szCs w:val="22"/>
        </w:rPr>
        <w:t>» июня 2017</w:t>
      </w:r>
      <w:r>
        <w:rPr>
          <w:color w:val="000000"/>
          <w:sz w:val="22"/>
          <w:szCs w:val="22"/>
        </w:rPr>
        <w:t>г.</w:t>
      </w:r>
    </w:p>
    <w:p w:rsidR="00543F66" w:rsidRPr="00543F66" w:rsidRDefault="00543F66" w:rsidP="00942F0F">
      <w:pPr>
        <w:pStyle w:val="a3"/>
        <w:spacing w:after="0" w:line="360" w:lineRule="auto"/>
        <w:ind w:firstLine="0"/>
        <w:outlineLvl w:val="0"/>
        <w:rPr>
          <w:b/>
          <w:color w:val="000000"/>
          <w:sz w:val="32"/>
          <w:szCs w:val="32"/>
        </w:rPr>
      </w:pPr>
    </w:p>
    <w:p w:rsidR="00BE11AE" w:rsidRDefault="007E510B" w:rsidP="00942F0F">
      <w:pPr>
        <w:pStyle w:val="a3"/>
        <w:spacing w:after="0" w:line="360" w:lineRule="auto"/>
        <w:ind w:firstLine="0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</w:t>
      </w:r>
      <w:r w:rsidR="00905412" w:rsidRPr="0020782A">
        <w:rPr>
          <w:b/>
          <w:color w:val="000000"/>
          <w:sz w:val="32"/>
          <w:szCs w:val="32"/>
        </w:rPr>
        <w:t>ехническое задание</w:t>
      </w:r>
      <w:r w:rsidR="00BE11AE">
        <w:rPr>
          <w:b/>
          <w:color w:val="000000"/>
          <w:sz w:val="32"/>
          <w:szCs w:val="32"/>
        </w:rPr>
        <w:t xml:space="preserve"> на организацию СКС </w:t>
      </w:r>
    </w:p>
    <w:p w:rsidR="00905412" w:rsidRDefault="00BE11AE" w:rsidP="00942F0F">
      <w:pPr>
        <w:pStyle w:val="a3"/>
        <w:spacing w:after="0" w:line="360" w:lineRule="auto"/>
        <w:ind w:firstLine="0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 ЦОД группы банков ТКБ и ИТБ</w:t>
      </w:r>
      <w:r w:rsidR="00905412" w:rsidRPr="00F31604">
        <w:rPr>
          <w:b/>
          <w:color w:val="000000"/>
          <w:sz w:val="32"/>
          <w:szCs w:val="32"/>
        </w:rPr>
        <w:t xml:space="preserve"> </w:t>
      </w:r>
    </w:p>
    <w:p w:rsidR="00905412" w:rsidRPr="0020782A" w:rsidRDefault="00905412" w:rsidP="00942F0F">
      <w:pPr>
        <w:pStyle w:val="a3"/>
        <w:spacing w:after="0" w:line="360" w:lineRule="auto"/>
        <w:ind w:left="1800" w:firstLine="0"/>
        <w:jc w:val="right"/>
        <w:outlineLvl w:val="0"/>
        <w:rPr>
          <w:b/>
          <w:color w:val="000000"/>
          <w:sz w:val="24"/>
          <w:szCs w:val="24"/>
        </w:rPr>
      </w:pPr>
    </w:p>
    <w:p w:rsidR="00942F0F" w:rsidRPr="00942F0F" w:rsidRDefault="00D61891" w:rsidP="00942F0F">
      <w:pPr>
        <w:pStyle w:val="a9"/>
        <w:numPr>
          <w:ilvl w:val="1"/>
          <w:numId w:val="33"/>
        </w:numPr>
        <w:spacing w:before="120" w:after="60"/>
        <w:jc w:val="left"/>
        <w:rPr>
          <w:b/>
        </w:rPr>
      </w:pPr>
      <w:r w:rsidRPr="00942F0F">
        <w:rPr>
          <w:b/>
          <w:color w:val="000000"/>
        </w:rPr>
        <w:t>Требования к о</w:t>
      </w:r>
      <w:r w:rsidR="00905412" w:rsidRPr="00942F0F">
        <w:rPr>
          <w:b/>
          <w:color w:val="000000"/>
        </w:rPr>
        <w:t>рганизаци</w:t>
      </w:r>
      <w:r w:rsidRPr="00942F0F">
        <w:rPr>
          <w:b/>
          <w:color w:val="000000"/>
        </w:rPr>
        <w:t>и</w:t>
      </w:r>
      <w:r w:rsidR="00905412" w:rsidRPr="00942F0F">
        <w:rPr>
          <w:b/>
          <w:color w:val="000000"/>
        </w:rPr>
        <w:t xml:space="preserve"> </w:t>
      </w:r>
      <w:r w:rsidR="00D53C3E" w:rsidRPr="00942F0F">
        <w:rPr>
          <w:b/>
          <w:color w:val="000000"/>
        </w:rPr>
        <w:t>ВОЛС/</w:t>
      </w:r>
      <w:r w:rsidR="00905412" w:rsidRPr="00942F0F">
        <w:rPr>
          <w:b/>
          <w:color w:val="000000"/>
        </w:rPr>
        <w:t>СКС</w:t>
      </w:r>
      <w:r w:rsidR="007F7EC0" w:rsidRPr="00942F0F">
        <w:rPr>
          <w:b/>
          <w:color w:val="000000"/>
        </w:rPr>
        <w:t xml:space="preserve"> в ЦОД</w:t>
      </w:r>
    </w:p>
    <w:p w:rsidR="00942F0F" w:rsidRPr="00942F0F" w:rsidRDefault="00905412" w:rsidP="00942F0F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942F0F">
        <w:rPr>
          <w:color w:val="000000"/>
        </w:rPr>
        <w:t xml:space="preserve">СКС должна отвечать требованиям категории  </w:t>
      </w:r>
      <w:r w:rsidR="00F139C5" w:rsidRPr="00942F0F">
        <w:rPr>
          <w:color w:val="000000"/>
        </w:rPr>
        <w:t>6</w:t>
      </w:r>
      <w:r w:rsidR="00942F0F" w:rsidRPr="00942F0F">
        <w:rPr>
          <w:color w:val="000000"/>
        </w:rPr>
        <w:t>.</w:t>
      </w:r>
    </w:p>
    <w:p w:rsidR="00905412" w:rsidRPr="00942F0F" w:rsidRDefault="00DB563D" w:rsidP="00942F0F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942F0F">
        <w:rPr>
          <w:color w:val="000000"/>
        </w:rPr>
        <w:t>ВОЛС должна отвечать требованиям пропускн</w:t>
      </w:r>
      <w:r w:rsidR="005D519D" w:rsidRPr="00942F0F">
        <w:rPr>
          <w:color w:val="000000"/>
        </w:rPr>
        <w:t>ой способности</w:t>
      </w:r>
      <w:r w:rsidRPr="00942F0F">
        <w:rPr>
          <w:color w:val="000000"/>
        </w:rPr>
        <w:t xml:space="preserve"> </w:t>
      </w:r>
      <w:r w:rsidR="005D519D" w:rsidRPr="00942F0F">
        <w:rPr>
          <w:color w:val="000000"/>
        </w:rPr>
        <w:t>многомодового</w:t>
      </w:r>
      <w:r w:rsidR="00BF10D9" w:rsidRPr="00942F0F">
        <w:rPr>
          <w:color w:val="000000"/>
        </w:rPr>
        <w:t xml:space="preserve"> </w:t>
      </w:r>
      <w:r w:rsidR="005D519D" w:rsidRPr="00942F0F">
        <w:rPr>
          <w:color w:val="000000"/>
        </w:rPr>
        <w:t>оптоволокна - до </w:t>
      </w:r>
      <w:r w:rsidR="00D817F3" w:rsidRPr="00942F0F">
        <w:rPr>
          <w:color w:val="000000"/>
        </w:rPr>
        <w:t>10</w:t>
      </w:r>
      <w:r w:rsidR="005D519D" w:rsidRPr="00942F0F">
        <w:rPr>
          <w:color w:val="000000"/>
        </w:rPr>
        <w:t xml:space="preserve"> Гбит/с</w:t>
      </w:r>
      <w:r w:rsidRPr="00942F0F">
        <w:rPr>
          <w:color w:val="000000"/>
        </w:rPr>
        <w:t>.</w:t>
      </w:r>
      <w:r w:rsidRPr="00942F0F">
        <w:rPr>
          <w:color w:val="000000"/>
        </w:rPr>
        <w:br/>
      </w:r>
      <w:r w:rsidR="00905412" w:rsidRPr="00942F0F">
        <w:rPr>
          <w:color w:val="000000"/>
        </w:rPr>
        <w:t xml:space="preserve">Общее </w:t>
      </w:r>
      <w:r w:rsidR="007F7EC0" w:rsidRPr="00942F0F">
        <w:rPr>
          <w:color w:val="000000"/>
        </w:rPr>
        <w:t>кол-во</w:t>
      </w:r>
      <w:r w:rsidR="00905412" w:rsidRPr="00942F0F">
        <w:rPr>
          <w:color w:val="000000"/>
        </w:rPr>
        <w:t xml:space="preserve"> </w:t>
      </w:r>
      <w:r w:rsidR="00F139C5" w:rsidRPr="00942F0F">
        <w:rPr>
          <w:color w:val="000000"/>
        </w:rPr>
        <w:t xml:space="preserve">дуплексных портов </w:t>
      </w:r>
      <w:r w:rsidR="00746E55" w:rsidRPr="00942F0F">
        <w:rPr>
          <w:color w:val="000000"/>
        </w:rPr>
        <w:t>ВОЛС/</w:t>
      </w:r>
      <w:r w:rsidR="00905412" w:rsidRPr="00942F0F">
        <w:rPr>
          <w:color w:val="000000"/>
        </w:rPr>
        <w:t>СКС, устанавливаемых на данном этапе работ –</w:t>
      </w:r>
      <w:r w:rsidR="0013484A" w:rsidRPr="00942F0F">
        <w:rPr>
          <w:color w:val="000000"/>
        </w:rPr>
        <w:t>624</w:t>
      </w:r>
      <w:r w:rsidR="0027068F" w:rsidRPr="00942F0F">
        <w:rPr>
          <w:color w:val="000000"/>
        </w:rPr>
        <w:t xml:space="preserve">/ </w:t>
      </w:r>
      <w:r w:rsidR="006D0FD2" w:rsidRPr="00942F0F">
        <w:rPr>
          <w:color w:val="000000"/>
        </w:rPr>
        <w:t>312</w:t>
      </w:r>
    </w:p>
    <w:p w:rsidR="00905412" w:rsidRPr="00942F0F" w:rsidRDefault="00905412" w:rsidP="00942F0F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942F0F">
        <w:rPr>
          <w:color w:val="000000"/>
        </w:rPr>
        <w:t xml:space="preserve">Распределение </w:t>
      </w:r>
      <w:r w:rsidR="007F7EC0" w:rsidRPr="00942F0F">
        <w:rPr>
          <w:color w:val="000000"/>
        </w:rPr>
        <w:t xml:space="preserve">портов </w:t>
      </w:r>
      <w:r w:rsidR="00B03088" w:rsidRPr="00942F0F">
        <w:rPr>
          <w:color w:val="000000"/>
        </w:rPr>
        <w:t>ВОЛС/</w:t>
      </w:r>
      <w:r w:rsidR="007F7EC0" w:rsidRPr="00942F0F">
        <w:rPr>
          <w:color w:val="000000"/>
        </w:rPr>
        <w:t>СКС</w:t>
      </w:r>
      <w:r w:rsidRPr="00942F0F">
        <w:rPr>
          <w:color w:val="000000"/>
        </w:rPr>
        <w:t xml:space="preserve"> </w:t>
      </w:r>
      <w:r w:rsidR="007F7EC0" w:rsidRPr="00942F0F">
        <w:rPr>
          <w:color w:val="000000"/>
        </w:rPr>
        <w:t xml:space="preserve">в </w:t>
      </w:r>
      <w:r w:rsidR="00F8593A" w:rsidRPr="00942F0F">
        <w:rPr>
          <w:color w:val="000000"/>
        </w:rPr>
        <w:t xml:space="preserve">операторских, </w:t>
      </w:r>
      <w:r w:rsidR="007F7EC0" w:rsidRPr="00942F0F">
        <w:rPr>
          <w:color w:val="000000"/>
        </w:rPr>
        <w:t>серверных</w:t>
      </w:r>
      <w:r w:rsidR="00F8593A" w:rsidRPr="00942F0F">
        <w:rPr>
          <w:color w:val="000000"/>
        </w:rPr>
        <w:t xml:space="preserve">, </w:t>
      </w:r>
      <w:r w:rsidR="007F7EC0" w:rsidRPr="00942F0F">
        <w:rPr>
          <w:color w:val="000000"/>
        </w:rPr>
        <w:t xml:space="preserve">телекоммуникационных стойках  </w:t>
      </w:r>
      <w:r w:rsidRPr="00942F0F">
        <w:rPr>
          <w:color w:val="000000"/>
        </w:rPr>
        <w:t xml:space="preserve"> </w:t>
      </w:r>
      <w:r w:rsidR="00F8593A" w:rsidRPr="00942F0F">
        <w:rPr>
          <w:color w:val="000000"/>
        </w:rPr>
        <w:t xml:space="preserve">- </w:t>
      </w:r>
      <w:r w:rsidRPr="00942F0F">
        <w:rPr>
          <w:color w:val="000000"/>
        </w:rPr>
        <w:t>представлены в таблице 1</w:t>
      </w:r>
      <w:r w:rsidR="00A97718" w:rsidRPr="00942F0F">
        <w:rPr>
          <w:color w:val="000000"/>
        </w:rPr>
        <w:t xml:space="preserve">, а также на схеме (см. </w:t>
      </w:r>
      <w:r w:rsidR="00DA07F7" w:rsidRPr="00942F0F">
        <w:rPr>
          <w:color w:val="000000"/>
        </w:rPr>
        <w:t>рис</w:t>
      </w:r>
      <w:r w:rsidR="00A97718" w:rsidRPr="00942F0F">
        <w:rPr>
          <w:color w:val="000000"/>
        </w:rPr>
        <w:t>.</w:t>
      </w:r>
      <w:r w:rsidR="00DA07F7" w:rsidRPr="00942F0F">
        <w:rPr>
          <w:color w:val="000000"/>
        </w:rPr>
        <w:t xml:space="preserve"> №1)</w:t>
      </w:r>
    </w:p>
    <w:p w:rsidR="00E92327" w:rsidRPr="00942F0F" w:rsidRDefault="00E92327" w:rsidP="00942F0F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942F0F">
        <w:rPr>
          <w:color w:val="000000"/>
        </w:rPr>
        <w:t>Предпочтительный производитель – Hyperline.</w:t>
      </w:r>
    </w:p>
    <w:p w:rsidR="00905412" w:rsidRPr="0020782A" w:rsidRDefault="00905412" w:rsidP="00942F0F">
      <w:pPr>
        <w:pStyle w:val="2"/>
        <w:jc w:val="left"/>
        <w:rPr>
          <w:color w:val="000000"/>
        </w:rPr>
      </w:pPr>
    </w:p>
    <w:p w:rsidR="00905412" w:rsidRPr="00942F0F" w:rsidRDefault="00905412" w:rsidP="00942F0F">
      <w:pPr>
        <w:ind w:firstLine="0"/>
        <w:jc w:val="right"/>
        <w:rPr>
          <w:color w:val="000000"/>
        </w:rPr>
      </w:pPr>
      <w:r w:rsidRPr="00942F0F">
        <w:rPr>
          <w:color w:val="000000"/>
        </w:rPr>
        <w:t>Таблица 1.</w:t>
      </w:r>
    </w:p>
    <w:p w:rsidR="00905412" w:rsidRPr="00942F0F" w:rsidRDefault="00905412" w:rsidP="00942F0F">
      <w:pPr>
        <w:spacing w:after="240"/>
        <w:ind w:firstLine="0"/>
        <w:jc w:val="center"/>
        <w:rPr>
          <w:b/>
          <w:color w:val="000000"/>
        </w:rPr>
      </w:pPr>
      <w:r w:rsidRPr="00942F0F">
        <w:rPr>
          <w:b/>
          <w:color w:val="000000"/>
        </w:rPr>
        <w:t xml:space="preserve">Распределение </w:t>
      </w:r>
      <w:r w:rsidR="007F7EC0" w:rsidRPr="00942F0F">
        <w:rPr>
          <w:b/>
          <w:color w:val="000000"/>
        </w:rPr>
        <w:t>портов СКС в ЦОД</w:t>
      </w:r>
    </w:p>
    <w:tbl>
      <w:tblPr>
        <w:tblpPr w:leftFromText="180" w:rightFromText="180" w:vertAnchor="text" w:tblpX="1404" w:tblpY="1"/>
        <w:tblOverlap w:val="never"/>
        <w:tblW w:w="7460" w:type="dxa"/>
        <w:tblLook w:val="04A0" w:firstRow="1" w:lastRow="0" w:firstColumn="1" w:lastColumn="0" w:noHBand="0" w:noVBand="1"/>
      </w:tblPr>
      <w:tblGrid>
        <w:gridCol w:w="4360"/>
        <w:gridCol w:w="1320"/>
        <w:gridCol w:w="890"/>
        <w:gridCol w:w="938"/>
      </w:tblGrid>
      <w:tr w:rsidR="00905412" w:rsidRPr="000F74CE" w:rsidTr="00671047">
        <w:trPr>
          <w:trHeight w:val="315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05412" w:rsidRPr="00942F0F" w:rsidRDefault="00905412" w:rsidP="00942F0F">
            <w:pPr>
              <w:ind w:firstLine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42F0F">
              <w:rPr>
                <w:b/>
                <w:bCs/>
                <w:color w:val="000000"/>
                <w:sz w:val="20"/>
                <w:lang w:eastAsia="ru-RU"/>
              </w:rPr>
              <w:t>Характеристика помещений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05412" w:rsidRPr="00942F0F" w:rsidRDefault="00B03088" w:rsidP="00942F0F">
            <w:pPr>
              <w:ind w:firstLine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42F0F">
              <w:rPr>
                <w:b/>
                <w:bCs/>
                <w:color w:val="000000"/>
                <w:sz w:val="20"/>
                <w:lang w:eastAsia="ru-RU"/>
              </w:rPr>
              <w:t xml:space="preserve">Кол-во </w:t>
            </w:r>
            <w:r w:rsidR="00F8593A" w:rsidRPr="00942F0F">
              <w:rPr>
                <w:b/>
                <w:bCs/>
                <w:color w:val="000000"/>
                <w:sz w:val="20"/>
                <w:lang w:eastAsia="ru-RU"/>
              </w:rPr>
              <w:t>ст</w:t>
            </w:r>
            <w:r w:rsidRPr="00942F0F">
              <w:rPr>
                <w:b/>
                <w:bCs/>
                <w:color w:val="000000"/>
                <w:sz w:val="20"/>
                <w:lang w:eastAsia="ru-RU"/>
              </w:rPr>
              <w:t>ое</w:t>
            </w:r>
            <w:r w:rsidR="00F8593A" w:rsidRPr="00942F0F">
              <w:rPr>
                <w:b/>
                <w:bCs/>
                <w:color w:val="000000"/>
                <w:sz w:val="20"/>
                <w:lang w:eastAsia="ru-RU"/>
              </w:rPr>
              <w:t>к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905412" w:rsidRPr="00942F0F" w:rsidRDefault="00905412" w:rsidP="00942F0F">
            <w:pPr>
              <w:ind w:firstLine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905412" w:rsidRPr="000F74CE" w:rsidTr="00671047">
        <w:trPr>
          <w:trHeight w:val="52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05412" w:rsidRPr="00942F0F" w:rsidRDefault="00905412" w:rsidP="00942F0F">
            <w:pPr>
              <w:ind w:firstLine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42F0F">
              <w:rPr>
                <w:b/>
                <w:bCs/>
                <w:color w:val="000000"/>
                <w:sz w:val="20"/>
                <w:lang w:eastAsia="ru-RU"/>
              </w:rPr>
              <w:t>Назначение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05412" w:rsidRPr="00942F0F" w:rsidRDefault="00905412" w:rsidP="00942F0F">
            <w:pPr>
              <w:ind w:firstLine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05412" w:rsidRPr="00942F0F" w:rsidRDefault="00746E55" w:rsidP="00942F0F">
            <w:pPr>
              <w:ind w:firstLine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42F0F">
              <w:rPr>
                <w:b/>
                <w:bCs/>
                <w:color w:val="000000"/>
                <w:sz w:val="20"/>
                <w:lang w:eastAsia="ru-RU"/>
              </w:rPr>
              <w:t>Портов СКС</w:t>
            </w:r>
          </w:p>
          <w:p w:rsidR="00F139C5" w:rsidRPr="00942F0F" w:rsidRDefault="00F139C5" w:rsidP="00942F0F">
            <w:pPr>
              <w:ind w:firstLine="0"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942F0F">
              <w:rPr>
                <w:b/>
                <w:bCs/>
                <w:color w:val="000000"/>
                <w:sz w:val="20"/>
                <w:lang w:val="en-US" w:eastAsia="ru-RU"/>
              </w:rPr>
              <w:t>RJ45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05412" w:rsidRPr="00942F0F" w:rsidRDefault="00905412" w:rsidP="00942F0F">
            <w:pPr>
              <w:ind w:firstLine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42F0F">
              <w:rPr>
                <w:b/>
                <w:bCs/>
                <w:color w:val="000000"/>
                <w:sz w:val="20"/>
                <w:lang w:eastAsia="ru-RU"/>
              </w:rPr>
              <w:t xml:space="preserve">Портов </w:t>
            </w:r>
            <w:r w:rsidR="00746E55" w:rsidRPr="00942F0F">
              <w:rPr>
                <w:b/>
                <w:bCs/>
                <w:color w:val="000000"/>
                <w:sz w:val="20"/>
                <w:lang w:eastAsia="ru-RU"/>
              </w:rPr>
              <w:t>ВОЛС</w:t>
            </w:r>
          </w:p>
          <w:p w:rsidR="00F139C5" w:rsidRPr="00942F0F" w:rsidRDefault="00F139C5" w:rsidP="00942F0F">
            <w:pPr>
              <w:ind w:firstLine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42F0F">
              <w:rPr>
                <w:b/>
                <w:bCs/>
                <w:color w:val="000000"/>
                <w:sz w:val="20"/>
                <w:lang w:eastAsia="ru-RU"/>
              </w:rPr>
              <w:t>дуплекс</w:t>
            </w:r>
          </w:p>
        </w:tc>
      </w:tr>
      <w:tr w:rsidR="00F8593A" w:rsidRPr="000F74CE" w:rsidTr="00671047">
        <w:trPr>
          <w:trHeight w:val="3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8593A" w:rsidRPr="00942F0F" w:rsidRDefault="00F8593A" w:rsidP="00942F0F">
            <w:pPr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942F0F">
              <w:rPr>
                <w:color w:val="000000"/>
                <w:sz w:val="20"/>
                <w:lang w:eastAsia="ru-RU"/>
              </w:rPr>
              <w:t>Серверная стойка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8593A" w:rsidRPr="00942F0F" w:rsidRDefault="00B47B01" w:rsidP="00942F0F">
            <w:pPr>
              <w:ind w:firstLine="0"/>
              <w:jc w:val="center"/>
              <w:rPr>
                <w:sz w:val="20"/>
                <w:lang w:eastAsia="ru-RU"/>
              </w:rPr>
            </w:pPr>
            <w:r w:rsidRPr="00942F0F">
              <w:rPr>
                <w:sz w:val="20"/>
                <w:lang w:val="en-US" w:eastAsia="ru-RU"/>
              </w:rPr>
              <w:t>1</w:t>
            </w:r>
            <w:r w:rsidR="0013484A" w:rsidRPr="00942F0F">
              <w:rPr>
                <w:sz w:val="20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8593A" w:rsidRPr="00942F0F" w:rsidRDefault="006D0FD2" w:rsidP="00942F0F">
            <w:pPr>
              <w:ind w:firstLine="0"/>
              <w:jc w:val="center"/>
              <w:rPr>
                <w:bCs/>
                <w:sz w:val="20"/>
                <w:lang w:eastAsia="ru-RU"/>
              </w:rPr>
            </w:pPr>
            <w:r w:rsidRPr="00942F0F">
              <w:rPr>
                <w:bCs/>
                <w:sz w:val="20"/>
                <w:lang w:eastAsia="ru-RU"/>
              </w:rPr>
              <w:t>156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484A" w:rsidRPr="00942F0F" w:rsidRDefault="0013484A" w:rsidP="00942F0F">
            <w:pPr>
              <w:ind w:firstLine="0"/>
              <w:jc w:val="center"/>
              <w:rPr>
                <w:bCs/>
                <w:sz w:val="20"/>
                <w:lang w:eastAsia="ru-RU"/>
              </w:rPr>
            </w:pPr>
            <w:r w:rsidRPr="00942F0F">
              <w:rPr>
                <w:bCs/>
                <w:sz w:val="20"/>
                <w:lang w:eastAsia="ru-RU"/>
              </w:rPr>
              <w:t>312</w:t>
            </w:r>
          </w:p>
        </w:tc>
      </w:tr>
      <w:tr w:rsidR="00F8593A" w:rsidRPr="000F74CE" w:rsidTr="00671047">
        <w:trPr>
          <w:trHeight w:val="3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8593A" w:rsidRPr="00942F0F" w:rsidRDefault="00705059" w:rsidP="00942F0F">
            <w:pPr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942F0F">
              <w:rPr>
                <w:color w:val="000000"/>
                <w:sz w:val="20"/>
                <w:lang w:eastAsia="ru-RU"/>
              </w:rPr>
              <w:t>С</w:t>
            </w:r>
            <w:r w:rsidR="00671047" w:rsidRPr="00942F0F">
              <w:rPr>
                <w:color w:val="000000"/>
                <w:sz w:val="20"/>
                <w:lang w:eastAsia="ru-RU"/>
              </w:rPr>
              <w:t>тойка</w:t>
            </w:r>
            <w:r w:rsidRPr="00942F0F">
              <w:rPr>
                <w:color w:val="000000"/>
                <w:sz w:val="20"/>
                <w:lang w:eastAsia="ru-RU"/>
              </w:rPr>
              <w:t xml:space="preserve"> центра коммутации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8593A" w:rsidRPr="00942F0F" w:rsidRDefault="00671047" w:rsidP="00942F0F">
            <w:pPr>
              <w:ind w:firstLine="0"/>
              <w:jc w:val="center"/>
              <w:rPr>
                <w:sz w:val="20"/>
                <w:lang w:val="en-US" w:eastAsia="ru-RU"/>
              </w:rPr>
            </w:pPr>
            <w:r w:rsidRPr="00942F0F">
              <w:rPr>
                <w:sz w:val="20"/>
                <w:lang w:val="en-US" w:eastAsia="ru-RU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8593A" w:rsidRPr="00942F0F" w:rsidRDefault="006D0FD2" w:rsidP="00942F0F">
            <w:pPr>
              <w:ind w:firstLine="0"/>
              <w:jc w:val="center"/>
              <w:rPr>
                <w:bCs/>
                <w:sz w:val="20"/>
                <w:lang w:eastAsia="ru-RU"/>
              </w:rPr>
            </w:pPr>
            <w:r w:rsidRPr="00942F0F">
              <w:rPr>
                <w:bCs/>
                <w:sz w:val="20"/>
                <w:lang w:eastAsia="ru-RU"/>
              </w:rPr>
              <w:t>156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8593A" w:rsidRPr="00942F0F" w:rsidRDefault="0013484A" w:rsidP="00942F0F">
            <w:pPr>
              <w:ind w:firstLine="0"/>
              <w:jc w:val="center"/>
              <w:rPr>
                <w:bCs/>
                <w:sz w:val="20"/>
                <w:lang w:eastAsia="ru-RU"/>
              </w:rPr>
            </w:pPr>
            <w:r w:rsidRPr="00942F0F">
              <w:rPr>
                <w:bCs/>
                <w:sz w:val="20"/>
                <w:lang w:eastAsia="ru-RU"/>
              </w:rPr>
              <w:t>312</w:t>
            </w:r>
          </w:p>
        </w:tc>
      </w:tr>
      <w:tr w:rsidR="00F8593A" w:rsidRPr="000F74CE" w:rsidTr="00671047">
        <w:trPr>
          <w:trHeight w:val="3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8593A" w:rsidRPr="00942F0F" w:rsidRDefault="00F8593A" w:rsidP="00942F0F">
            <w:pPr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942F0F">
              <w:rPr>
                <w:b/>
                <w:bCs/>
                <w:color w:val="000000"/>
                <w:sz w:val="20"/>
                <w:lang w:eastAsia="ru-RU"/>
              </w:rPr>
              <w:t>Всего: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8593A" w:rsidRPr="00942F0F" w:rsidRDefault="0013484A" w:rsidP="00942F0F">
            <w:pPr>
              <w:ind w:firstLine="0"/>
              <w:jc w:val="center"/>
              <w:rPr>
                <w:sz w:val="20"/>
                <w:lang w:eastAsia="ru-RU"/>
              </w:rPr>
            </w:pPr>
            <w:r w:rsidRPr="00942F0F">
              <w:rPr>
                <w:b/>
                <w:bCs/>
                <w:sz w:val="20"/>
                <w:lang w:eastAsia="ru-RU"/>
              </w:rPr>
              <w:t>15</w:t>
            </w:r>
            <w:r w:rsidR="00F8593A" w:rsidRPr="00942F0F">
              <w:rPr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8593A" w:rsidRPr="00942F0F" w:rsidRDefault="006D0FD2" w:rsidP="00942F0F">
            <w:pPr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  <w:r w:rsidRPr="00942F0F">
              <w:rPr>
                <w:b/>
                <w:bCs/>
                <w:sz w:val="20"/>
                <w:lang w:eastAsia="ru-RU"/>
              </w:rPr>
              <w:t>312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8593A" w:rsidRPr="00942F0F" w:rsidRDefault="0013484A" w:rsidP="00942F0F">
            <w:pPr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  <w:r w:rsidRPr="00942F0F">
              <w:rPr>
                <w:b/>
                <w:bCs/>
                <w:sz w:val="20"/>
                <w:lang w:eastAsia="ru-RU"/>
              </w:rPr>
              <w:t>624</w:t>
            </w:r>
          </w:p>
        </w:tc>
      </w:tr>
    </w:tbl>
    <w:p w:rsidR="00905412" w:rsidRPr="00942F0F" w:rsidRDefault="00D374D2" w:rsidP="00942F0F">
      <w:pPr>
        <w:spacing w:after="240"/>
        <w:ind w:firstLine="0"/>
        <w:jc w:val="center"/>
        <w:rPr>
          <w:b/>
          <w:color w:val="000000"/>
        </w:rPr>
      </w:pPr>
      <w:r w:rsidRPr="00942F0F">
        <w:rPr>
          <w:b/>
          <w:color w:val="000000"/>
        </w:rPr>
        <w:br w:type="textWrapping" w:clear="all"/>
      </w:r>
    </w:p>
    <w:p w:rsidR="00D555E0" w:rsidRPr="00942F0F" w:rsidRDefault="00D555E0" w:rsidP="00942F0F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942F0F">
        <w:rPr>
          <w:color w:val="000000"/>
        </w:rPr>
        <w:t xml:space="preserve">Все шкафы кроме 2-х шкафов центра коммутации оснащаются модульной патч-панелью на 24 оптических порта и </w:t>
      </w:r>
      <w:r w:rsidR="006D0FD2" w:rsidRPr="00942F0F">
        <w:rPr>
          <w:color w:val="000000"/>
        </w:rPr>
        <w:t>на 12</w:t>
      </w:r>
      <w:r w:rsidRPr="00942F0F">
        <w:rPr>
          <w:color w:val="000000"/>
        </w:rPr>
        <w:t xml:space="preserve"> медных портов.</w:t>
      </w:r>
    </w:p>
    <w:p w:rsidR="00D555E0" w:rsidRPr="00942F0F" w:rsidRDefault="00D555E0" w:rsidP="00942F0F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942F0F">
        <w:rPr>
          <w:color w:val="000000"/>
        </w:rPr>
        <w:t>2 шкафа центра коммутации с лицевой стороны оснащаются патч-панелями  с медными портами. Задняя сторона шкафов оснащается оптическими патч-панелями высокой плотности, так чтобы общее количество занятых юнитов не превышало 10.</w:t>
      </w:r>
    </w:p>
    <w:p w:rsidR="00D555E0" w:rsidRPr="00942F0F" w:rsidRDefault="00D555E0" w:rsidP="00942F0F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942F0F">
        <w:rPr>
          <w:color w:val="000000"/>
        </w:rPr>
        <w:t>Горизонтальные коммутации между оборудованием, размещенным в шкафах (кроме центра коммутации) производятся с помощью патч-кордов.</w:t>
      </w:r>
    </w:p>
    <w:p w:rsidR="00D555E0" w:rsidRPr="00942F0F" w:rsidRDefault="00D555E0" w:rsidP="00942F0F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942F0F">
        <w:rPr>
          <w:color w:val="000000"/>
        </w:rPr>
        <w:t>Указанные в п.1.4 патч</w:t>
      </w:r>
      <w:r w:rsidR="006D0FD2" w:rsidRPr="00942F0F">
        <w:rPr>
          <w:color w:val="000000"/>
        </w:rPr>
        <w:t>-панели (24 оптических порта и 12</w:t>
      </w:r>
      <w:r w:rsidRPr="00942F0F">
        <w:rPr>
          <w:color w:val="000000"/>
        </w:rPr>
        <w:t xml:space="preserve"> медных портов) соединяются с оптическими и медными портами шкафов центра коммутации и используются для подключения к оборудования, которое размещено в этих же центрах коммутации.</w:t>
      </w:r>
    </w:p>
    <w:p w:rsidR="00D555E0" w:rsidRPr="00942F0F" w:rsidRDefault="00E92327" w:rsidP="00942F0F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942F0F">
        <w:rPr>
          <w:color w:val="000000"/>
        </w:rPr>
        <w:t>К м</w:t>
      </w:r>
      <w:r w:rsidR="00D555E0" w:rsidRPr="00942F0F">
        <w:rPr>
          <w:color w:val="000000"/>
        </w:rPr>
        <w:t>одул</w:t>
      </w:r>
      <w:r w:rsidRPr="00942F0F">
        <w:rPr>
          <w:color w:val="000000"/>
        </w:rPr>
        <w:t>ям на</w:t>
      </w:r>
      <w:r w:rsidR="00D555E0" w:rsidRPr="00942F0F">
        <w:rPr>
          <w:color w:val="000000"/>
        </w:rPr>
        <w:t xml:space="preserve"> </w:t>
      </w:r>
      <w:r w:rsidR="006D0FD2" w:rsidRPr="00942F0F">
        <w:rPr>
          <w:color w:val="000000"/>
        </w:rPr>
        <w:t>12</w:t>
      </w:r>
      <w:r w:rsidR="00D555E0" w:rsidRPr="00942F0F">
        <w:rPr>
          <w:color w:val="000000"/>
        </w:rPr>
        <w:t xml:space="preserve"> портов RJ45 подводится 4-парный кабель типа витая пара (UTP cat</w:t>
      </w:r>
      <w:r w:rsidRPr="00942F0F">
        <w:rPr>
          <w:color w:val="000000"/>
        </w:rPr>
        <w:t xml:space="preserve"> 6</w:t>
      </w:r>
      <w:r w:rsidR="00D555E0" w:rsidRPr="00942F0F">
        <w:rPr>
          <w:color w:val="000000"/>
        </w:rPr>
        <w:t xml:space="preserve">). </w:t>
      </w:r>
    </w:p>
    <w:p w:rsidR="00FF7449" w:rsidRPr="00942F0F" w:rsidRDefault="00FF7449" w:rsidP="00942F0F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942F0F">
        <w:rPr>
          <w:color w:val="000000"/>
        </w:rPr>
        <w:t>Порты патч-панелей стоек (оптические и медные) распределяются пополам между двумя стойками центра</w:t>
      </w:r>
      <w:r w:rsidR="00E92327" w:rsidRPr="00942F0F">
        <w:rPr>
          <w:color w:val="000000"/>
        </w:rPr>
        <w:t xml:space="preserve"> коммутации.(12 оптических и</w:t>
      </w:r>
      <w:r w:rsidRPr="00942F0F">
        <w:rPr>
          <w:color w:val="000000"/>
        </w:rPr>
        <w:t xml:space="preserve"> </w:t>
      </w:r>
      <w:r w:rsidR="006D0FD2" w:rsidRPr="00942F0F">
        <w:rPr>
          <w:color w:val="000000"/>
        </w:rPr>
        <w:t>6</w:t>
      </w:r>
      <w:r w:rsidRPr="00942F0F">
        <w:rPr>
          <w:color w:val="000000"/>
        </w:rPr>
        <w:t xml:space="preserve"> медных портов в одну ст</w:t>
      </w:r>
      <w:r w:rsidR="00E92327" w:rsidRPr="00942F0F">
        <w:rPr>
          <w:color w:val="000000"/>
        </w:rPr>
        <w:t xml:space="preserve">ойку, 12 оптических портов и </w:t>
      </w:r>
      <w:r w:rsidR="006D0FD2" w:rsidRPr="00942F0F">
        <w:rPr>
          <w:color w:val="000000"/>
        </w:rPr>
        <w:t>6</w:t>
      </w:r>
      <w:r w:rsidRPr="00942F0F">
        <w:rPr>
          <w:color w:val="000000"/>
        </w:rPr>
        <w:t xml:space="preserve"> медных в другую стойку)</w:t>
      </w:r>
    </w:p>
    <w:p w:rsidR="00D555E0" w:rsidRPr="00942F0F" w:rsidRDefault="00D555E0" w:rsidP="00942F0F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942F0F">
        <w:rPr>
          <w:color w:val="000000"/>
        </w:rPr>
        <w:lastRenderedPageBreak/>
        <w:t>В каждую стойку устанавливается оптическая патч-панель 24-ре порта</w:t>
      </w:r>
      <w:r w:rsidR="00E92327" w:rsidRPr="00942F0F">
        <w:rPr>
          <w:color w:val="000000"/>
        </w:rPr>
        <w:t xml:space="preserve"> (см. п.1.4)</w:t>
      </w:r>
      <w:r w:rsidRPr="00942F0F">
        <w:rPr>
          <w:color w:val="000000"/>
        </w:rPr>
        <w:t xml:space="preserve"> с интерфейсами LC, к которым подводится многомодовое волокно (многомод МM). </w:t>
      </w:r>
    </w:p>
    <w:p w:rsidR="00D555E0" w:rsidRPr="00BC7ABD" w:rsidRDefault="00D555E0" w:rsidP="00942F0F">
      <w:pPr>
        <w:ind w:left="420" w:firstLine="0"/>
        <w:rPr>
          <w:szCs w:val="24"/>
        </w:rPr>
      </w:pPr>
    </w:p>
    <w:p w:rsidR="001A70B3" w:rsidRPr="00D555E0" w:rsidRDefault="001A70B3" w:rsidP="00942F0F">
      <w:pPr>
        <w:ind w:left="720" w:firstLine="0"/>
        <w:rPr>
          <w:color w:val="000000"/>
          <w:szCs w:val="24"/>
        </w:rPr>
      </w:pPr>
    </w:p>
    <w:p w:rsidR="00905412" w:rsidRPr="006569ED" w:rsidRDefault="00D61891" w:rsidP="006569ED">
      <w:pPr>
        <w:pStyle w:val="a9"/>
        <w:numPr>
          <w:ilvl w:val="0"/>
          <w:numId w:val="34"/>
        </w:numPr>
        <w:spacing w:before="120" w:after="60"/>
        <w:rPr>
          <w:b/>
        </w:rPr>
      </w:pPr>
      <w:r w:rsidRPr="006569ED">
        <w:rPr>
          <w:b/>
        </w:rPr>
        <w:t>Требования к горизонтальной подсистеме</w:t>
      </w:r>
    </w:p>
    <w:p w:rsidR="00DB563D" w:rsidRPr="006569ED" w:rsidRDefault="00905412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t>Использовать кабель типа витая пара, н</w:t>
      </w:r>
      <w:r w:rsidR="00C04FD5" w:rsidRPr="006569ED">
        <w:rPr>
          <w:color w:val="000000"/>
        </w:rPr>
        <w:t>еэкранированный, четырех парный</w:t>
      </w:r>
      <w:r w:rsidR="00E92327" w:rsidRPr="006569ED">
        <w:rPr>
          <w:color w:val="000000"/>
        </w:rPr>
        <w:t xml:space="preserve"> категории 6</w:t>
      </w:r>
      <w:r w:rsidR="00733EBA" w:rsidRPr="006569ED">
        <w:rPr>
          <w:color w:val="000000"/>
        </w:rPr>
        <w:t>.</w:t>
      </w:r>
    </w:p>
    <w:p w:rsidR="00C04FD5" w:rsidRPr="006569ED" w:rsidRDefault="00DB563D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t xml:space="preserve">Использовать кабель  </w:t>
      </w:r>
      <w:r w:rsidR="00BF10D9" w:rsidRPr="006569ED">
        <w:rPr>
          <w:color w:val="000000"/>
        </w:rPr>
        <w:t>многмо</w:t>
      </w:r>
      <w:r w:rsidRPr="006569ED">
        <w:rPr>
          <w:color w:val="000000"/>
        </w:rPr>
        <w:t>дового оптоволокна</w:t>
      </w:r>
      <w:r w:rsidR="00733EBA" w:rsidRPr="006569ED">
        <w:rPr>
          <w:color w:val="000000"/>
        </w:rPr>
        <w:t xml:space="preserve"> волоконно-оптический. Тип</w:t>
      </w:r>
      <w:r w:rsidR="00A33E16" w:rsidRPr="006569ED">
        <w:rPr>
          <w:color w:val="000000"/>
        </w:rPr>
        <w:t xml:space="preserve"> кабеля:</w:t>
      </w:r>
      <w:r w:rsidR="00733EBA" w:rsidRPr="006569ED">
        <w:rPr>
          <w:color w:val="000000"/>
        </w:rPr>
        <w:t xml:space="preserve"> </w:t>
      </w:r>
      <w:r w:rsidR="00A33E16" w:rsidRPr="006569ED">
        <w:rPr>
          <w:color w:val="000000"/>
        </w:rPr>
        <w:t>2000MHz*km MMF (OM3) 50 micron</w:t>
      </w:r>
    </w:p>
    <w:p w:rsidR="00905412" w:rsidRPr="006569ED" w:rsidRDefault="00905412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t xml:space="preserve">Горизонтальные трассы прокладки кабелей организовать </w:t>
      </w:r>
      <w:r w:rsidR="007F7EC0" w:rsidRPr="006569ED">
        <w:rPr>
          <w:color w:val="000000"/>
        </w:rPr>
        <w:t>на</w:t>
      </w:r>
      <w:r w:rsidR="00BD5A54" w:rsidRPr="006569ED">
        <w:rPr>
          <w:color w:val="000000"/>
        </w:rPr>
        <w:t xml:space="preserve"> существующе</w:t>
      </w:r>
      <w:r w:rsidRPr="006569ED">
        <w:rPr>
          <w:color w:val="000000"/>
        </w:rPr>
        <w:t xml:space="preserve">м </w:t>
      </w:r>
      <w:r w:rsidR="007F7EC0" w:rsidRPr="006569ED">
        <w:rPr>
          <w:color w:val="000000"/>
        </w:rPr>
        <w:t>лотке</w:t>
      </w:r>
      <w:r w:rsidR="00D374D2" w:rsidRPr="006569ED">
        <w:rPr>
          <w:color w:val="000000"/>
        </w:rPr>
        <w:t>.</w:t>
      </w:r>
    </w:p>
    <w:p w:rsidR="00905412" w:rsidRPr="0020782A" w:rsidRDefault="00905412" w:rsidP="00942F0F">
      <w:pPr>
        <w:ind w:firstLine="0"/>
        <w:rPr>
          <w:color w:val="000000"/>
        </w:rPr>
      </w:pPr>
    </w:p>
    <w:p w:rsidR="00905412" w:rsidRPr="006569ED" w:rsidRDefault="00D61891" w:rsidP="006569ED">
      <w:pPr>
        <w:pStyle w:val="a9"/>
        <w:numPr>
          <w:ilvl w:val="0"/>
          <w:numId w:val="34"/>
        </w:numPr>
        <w:spacing w:before="120" w:after="60"/>
        <w:rPr>
          <w:b/>
        </w:rPr>
      </w:pPr>
      <w:r w:rsidRPr="006569ED">
        <w:rPr>
          <w:b/>
        </w:rPr>
        <w:t>Требования к к</w:t>
      </w:r>
      <w:r w:rsidR="00905412" w:rsidRPr="006569ED">
        <w:rPr>
          <w:b/>
        </w:rPr>
        <w:t>оммутационн</w:t>
      </w:r>
      <w:r w:rsidRPr="006569ED">
        <w:rPr>
          <w:b/>
        </w:rPr>
        <w:t>ому</w:t>
      </w:r>
      <w:r w:rsidR="00905412" w:rsidRPr="006569ED">
        <w:rPr>
          <w:b/>
        </w:rPr>
        <w:t xml:space="preserve"> центр</w:t>
      </w:r>
      <w:r w:rsidRPr="006569ED">
        <w:rPr>
          <w:b/>
        </w:rPr>
        <w:t>у</w:t>
      </w:r>
      <w:r w:rsidR="00905412" w:rsidRPr="006569ED">
        <w:rPr>
          <w:b/>
        </w:rPr>
        <w:t>.</w:t>
      </w:r>
    </w:p>
    <w:p w:rsidR="00905412" w:rsidRPr="006569ED" w:rsidRDefault="00905412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t xml:space="preserve">Все </w:t>
      </w:r>
      <w:r w:rsidR="007F7EC0" w:rsidRPr="006569ED">
        <w:rPr>
          <w:color w:val="000000"/>
        </w:rPr>
        <w:t xml:space="preserve">порты </w:t>
      </w:r>
      <w:r w:rsidR="00DB563D" w:rsidRPr="006569ED">
        <w:rPr>
          <w:color w:val="000000"/>
        </w:rPr>
        <w:t>ВОЛС/</w:t>
      </w:r>
      <w:r w:rsidR="007F7EC0" w:rsidRPr="006569ED">
        <w:rPr>
          <w:color w:val="000000"/>
        </w:rPr>
        <w:t>СКС</w:t>
      </w:r>
      <w:r w:rsidRPr="006569ED">
        <w:rPr>
          <w:color w:val="000000"/>
        </w:rPr>
        <w:t xml:space="preserve"> подключаются в коммутационном центре</w:t>
      </w:r>
    </w:p>
    <w:p w:rsidR="007F7EC0" w:rsidRPr="006569ED" w:rsidRDefault="00905412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t xml:space="preserve">Все линии </w:t>
      </w:r>
      <w:r w:rsidR="00DB563D" w:rsidRPr="006569ED">
        <w:rPr>
          <w:color w:val="000000"/>
        </w:rPr>
        <w:t>ВОЛС/</w:t>
      </w:r>
      <w:r w:rsidRPr="006569ED">
        <w:rPr>
          <w:color w:val="000000"/>
        </w:rPr>
        <w:t>СКС терминируются на коммутационные панели, устанавливаемые  в коммуникационны</w:t>
      </w:r>
      <w:r w:rsidR="0062067C" w:rsidRPr="006569ED">
        <w:rPr>
          <w:color w:val="000000"/>
        </w:rPr>
        <w:t>е</w:t>
      </w:r>
      <w:r w:rsidRPr="006569ED">
        <w:rPr>
          <w:color w:val="000000"/>
        </w:rPr>
        <w:t xml:space="preserve"> шкаф</w:t>
      </w:r>
      <w:r w:rsidR="0062067C" w:rsidRPr="006569ED">
        <w:rPr>
          <w:color w:val="000000"/>
        </w:rPr>
        <w:t>ы</w:t>
      </w:r>
      <w:r w:rsidRPr="006569ED">
        <w:rPr>
          <w:color w:val="000000"/>
        </w:rPr>
        <w:t>.</w:t>
      </w:r>
      <w:r w:rsidR="00F477BC" w:rsidRPr="006569ED">
        <w:rPr>
          <w:color w:val="000000"/>
        </w:rPr>
        <w:t xml:space="preserve"> </w:t>
      </w:r>
    </w:p>
    <w:p w:rsidR="00905412" w:rsidRPr="006569ED" w:rsidRDefault="00905412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t xml:space="preserve">Окончательный дизайн </w:t>
      </w:r>
      <w:r w:rsidR="00E92327" w:rsidRPr="006569ED">
        <w:rPr>
          <w:color w:val="000000"/>
        </w:rPr>
        <w:t xml:space="preserve">СКС и </w:t>
      </w:r>
      <w:r w:rsidRPr="006569ED">
        <w:rPr>
          <w:color w:val="000000"/>
        </w:rPr>
        <w:t>коммутационного центра согласуется с ответственным сотрудником подразделения телекоммуникаций банка в процессе реализации Договора.</w:t>
      </w:r>
    </w:p>
    <w:p w:rsidR="00905412" w:rsidRDefault="00905412" w:rsidP="00942F0F">
      <w:pPr>
        <w:ind w:firstLine="0"/>
      </w:pPr>
    </w:p>
    <w:p w:rsidR="00905412" w:rsidRPr="006569ED" w:rsidRDefault="00D61891" w:rsidP="006569ED">
      <w:pPr>
        <w:pStyle w:val="a9"/>
        <w:keepNext/>
        <w:numPr>
          <w:ilvl w:val="0"/>
          <w:numId w:val="34"/>
        </w:numPr>
        <w:spacing w:before="120" w:after="60"/>
        <w:rPr>
          <w:b/>
          <w:color w:val="000000"/>
        </w:rPr>
      </w:pPr>
      <w:r w:rsidRPr="006569ED">
        <w:rPr>
          <w:b/>
          <w:color w:val="000000"/>
        </w:rPr>
        <w:t>Требования к д</w:t>
      </w:r>
      <w:r w:rsidR="00905412" w:rsidRPr="006569ED">
        <w:rPr>
          <w:b/>
          <w:color w:val="000000"/>
        </w:rPr>
        <w:t>окументировани</w:t>
      </w:r>
      <w:r w:rsidRPr="006569ED">
        <w:rPr>
          <w:b/>
          <w:color w:val="000000"/>
        </w:rPr>
        <w:t>ю</w:t>
      </w:r>
    </w:p>
    <w:p w:rsidR="00905412" w:rsidRPr="006569ED" w:rsidRDefault="00905412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t>По завершении работ по договору Исполнитель предоставляет Заказчику следующую документацию:</w:t>
      </w:r>
    </w:p>
    <w:p w:rsidR="00905412" w:rsidRPr="006569ED" w:rsidRDefault="00905412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t xml:space="preserve">План помещения с нанесенными на нем </w:t>
      </w:r>
      <w:r w:rsidR="001E234F" w:rsidRPr="006569ED">
        <w:rPr>
          <w:color w:val="000000"/>
        </w:rPr>
        <w:t>трассами медных и волоконно-оптических</w:t>
      </w:r>
      <w:r w:rsidRPr="006569ED">
        <w:rPr>
          <w:color w:val="000000"/>
        </w:rPr>
        <w:t xml:space="preserve"> кабельных систем;</w:t>
      </w:r>
    </w:p>
    <w:p w:rsidR="009E2ABB" w:rsidRPr="006569ED" w:rsidRDefault="00DB563D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t>Схемы прокладки кабеля с указанием всех волокон, точек их соединения и оконечного оборудования</w:t>
      </w:r>
    </w:p>
    <w:p w:rsidR="00E92327" w:rsidRPr="006569ED" w:rsidRDefault="00E92327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t>Схема/таблица нумерации портов.</w:t>
      </w:r>
    </w:p>
    <w:p w:rsidR="009E2ABB" w:rsidRPr="006569ED" w:rsidRDefault="001E234F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t xml:space="preserve">Порты </w:t>
      </w:r>
      <w:r w:rsidR="00DB563D" w:rsidRPr="006569ED">
        <w:rPr>
          <w:color w:val="000000"/>
        </w:rPr>
        <w:t>ВОЛС/</w:t>
      </w:r>
      <w:r w:rsidRPr="006569ED">
        <w:rPr>
          <w:color w:val="000000"/>
        </w:rPr>
        <w:t>СКС должны быть промаркированы;</w:t>
      </w:r>
    </w:p>
    <w:p w:rsidR="009E2ABB" w:rsidRPr="006569ED" w:rsidRDefault="009E2ABB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t>Результаты испытания волокон/ медных линий связи.</w:t>
      </w:r>
    </w:p>
    <w:p w:rsidR="00AE1672" w:rsidRPr="006569ED" w:rsidRDefault="00DA07F7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t>Гарантийные обязательства сроком не менее 1</w:t>
      </w:r>
      <w:r w:rsidR="00D20569" w:rsidRPr="006569ED">
        <w:rPr>
          <w:color w:val="000000"/>
        </w:rPr>
        <w:t xml:space="preserve"> </w:t>
      </w:r>
      <w:r w:rsidRPr="006569ED">
        <w:rPr>
          <w:color w:val="000000"/>
        </w:rPr>
        <w:t>год</w:t>
      </w:r>
      <w:r w:rsidR="00D20569" w:rsidRPr="006569ED">
        <w:rPr>
          <w:color w:val="000000"/>
        </w:rPr>
        <w:t>.</w:t>
      </w:r>
    </w:p>
    <w:p w:rsidR="00905412" w:rsidRDefault="00905412" w:rsidP="00942F0F">
      <w:pPr>
        <w:ind w:left="720" w:firstLine="0"/>
        <w:rPr>
          <w:color w:val="000000"/>
        </w:rPr>
      </w:pPr>
    </w:p>
    <w:p w:rsidR="00905412" w:rsidRPr="006569ED" w:rsidRDefault="00D555E0" w:rsidP="006569ED">
      <w:pPr>
        <w:pStyle w:val="a9"/>
        <w:numPr>
          <w:ilvl w:val="0"/>
          <w:numId w:val="34"/>
        </w:numPr>
        <w:rPr>
          <w:b/>
        </w:rPr>
      </w:pPr>
      <w:r w:rsidRPr="006569ED">
        <w:rPr>
          <w:b/>
        </w:rPr>
        <w:t>Требования к подрядчику</w:t>
      </w:r>
    </w:p>
    <w:p w:rsidR="002F38F8" w:rsidRPr="006569ED" w:rsidRDefault="002F38F8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t>Опыт работы на рынке СКС не менее 3 лет</w:t>
      </w:r>
    </w:p>
    <w:p w:rsidR="00DA07F7" w:rsidRPr="006569ED" w:rsidRDefault="00DA07F7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t>Подтвержденный опыт создания СКС в ЦОД</w:t>
      </w:r>
      <w:r w:rsidR="00D20569" w:rsidRPr="006569ED">
        <w:rPr>
          <w:color w:val="000000"/>
        </w:rPr>
        <w:t xml:space="preserve"> на не менее 10 стоек.</w:t>
      </w:r>
      <w:r w:rsidRPr="006569ED">
        <w:rPr>
          <w:color w:val="000000"/>
        </w:rPr>
        <w:t xml:space="preserve"> </w:t>
      </w:r>
    </w:p>
    <w:p w:rsidR="00D41CF5" w:rsidRPr="006569ED" w:rsidRDefault="00D41CF5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t>Наличие в штате обученных монтажников имеющих сертификаты о прохождении обучения в учебных центрах ведущих производителей (вендоров) оборудования СКС, имеющих знание и технологии построения СКС</w:t>
      </w:r>
      <w:r w:rsidR="00DA07F7" w:rsidRPr="006569ED">
        <w:rPr>
          <w:color w:val="000000"/>
        </w:rPr>
        <w:t xml:space="preserve"> в количестве не менее </w:t>
      </w:r>
      <w:r w:rsidR="00D20569" w:rsidRPr="006569ED">
        <w:rPr>
          <w:color w:val="000000"/>
        </w:rPr>
        <w:t>2</w:t>
      </w:r>
      <w:r w:rsidRPr="006569ED">
        <w:rPr>
          <w:color w:val="000000"/>
        </w:rPr>
        <w:t>.</w:t>
      </w:r>
    </w:p>
    <w:p w:rsidR="00D41CF5" w:rsidRPr="006569ED" w:rsidRDefault="00D41CF5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t>Наличие в штате инженеров-проектировщиков имеющих сертификаты о прохождении обучения в учебных центрах ведущих производителей (вендоров) оборудования СКС, имеющих знание и технологии построения СКС</w:t>
      </w:r>
      <w:r w:rsidR="00DA07F7" w:rsidRPr="006569ED">
        <w:rPr>
          <w:color w:val="000000"/>
        </w:rPr>
        <w:t xml:space="preserve"> в количестве не менее 2</w:t>
      </w:r>
    </w:p>
    <w:p w:rsidR="00D41CF5" w:rsidRPr="006569ED" w:rsidRDefault="00D41CF5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t>Наличие в собственности компании специализированных инструментов и профессионального оборудования, аппаратуры.</w:t>
      </w:r>
    </w:p>
    <w:p w:rsidR="00D41CF5" w:rsidRPr="006569ED" w:rsidRDefault="00D41CF5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t xml:space="preserve">Наличие у компании </w:t>
      </w:r>
      <w:r w:rsidR="001A7581" w:rsidRPr="006569ED">
        <w:rPr>
          <w:color w:val="000000"/>
        </w:rPr>
        <w:t>нескольких</w:t>
      </w:r>
      <w:r w:rsidR="00DA07F7" w:rsidRPr="006569ED">
        <w:rPr>
          <w:color w:val="000000"/>
        </w:rPr>
        <w:t xml:space="preserve"> </w:t>
      </w:r>
      <w:r w:rsidRPr="006569ED">
        <w:rPr>
          <w:color w:val="000000"/>
        </w:rPr>
        <w:t>сертификатов производителей (вендоров) оборудования СКС.</w:t>
      </w:r>
    </w:p>
    <w:p w:rsidR="00D555E0" w:rsidRDefault="00D555E0" w:rsidP="00942F0F">
      <w:pPr>
        <w:pStyle w:val="a9"/>
        <w:ind w:left="780" w:firstLine="0"/>
      </w:pPr>
    </w:p>
    <w:p w:rsidR="00DA07F7" w:rsidRPr="006569ED" w:rsidRDefault="00DA07F7" w:rsidP="006569ED">
      <w:pPr>
        <w:pStyle w:val="a9"/>
        <w:numPr>
          <w:ilvl w:val="0"/>
          <w:numId w:val="34"/>
        </w:numPr>
        <w:rPr>
          <w:b/>
        </w:rPr>
      </w:pPr>
      <w:r w:rsidRPr="006569ED">
        <w:rPr>
          <w:b/>
        </w:rPr>
        <w:t>Дополнительные требования</w:t>
      </w:r>
    </w:p>
    <w:p w:rsidR="00DA07F7" w:rsidRPr="006569ED" w:rsidRDefault="00DA07F7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lastRenderedPageBreak/>
        <w:t xml:space="preserve">Для коммутации медных инерфейсов с активным оборудованием и серверным оборудованием, необходимо </w:t>
      </w:r>
      <w:r w:rsidR="00E92327" w:rsidRPr="006569ED">
        <w:rPr>
          <w:color w:val="000000"/>
        </w:rPr>
        <w:t xml:space="preserve">отдельно </w:t>
      </w:r>
      <w:r w:rsidRPr="006569ED">
        <w:rPr>
          <w:color w:val="000000"/>
        </w:rPr>
        <w:t>предоставить стоимость медных патч-кордов длинной 1м – 100шт.; 2м – 62шт.; 3м – 62шт.</w:t>
      </w:r>
    </w:p>
    <w:p w:rsidR="00DA07F7" w:rsidRPr="006569ED" w:rsidRDefault="00DA07F7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t xml:space="preserve">1.12 Для коммутации оптических инерфейсов с активным оборудованием и серверным оборудованием, необходимо </w:t>
      </w:r>
      <w:r w:rsidR="00E92327" w:rsidRPr="006569ED">
        <w:rPr>
          <w:color w:val="000000"/>
        </w:rPr>
        <w:t xml:space="preserve">отдельно </w:t>
      </w:r>
      <w:r w:rsidRPr="006569ED">
        <w:rPr>
          <w:color w:val="000000"/>
        </w:rPr>
        <w:t>предоставить стоимость оптических патч-кордов мультимод LC-LC длинной 1м – 300шт.; 2м – 200шт.; 3м – 100шт.; 5м – 72шт.</w:t>
      </w:r>
    </w:p>
    <w:p w:rsidR="00E1073F" w:rsidRDefault="00E1073F" w:rsidP="00942F0F">
      <w:pPr>
        <w:pStyle w:val="a9"/>
        <w:ind w:left="360" w:firstLine="0"/>
      </w:pPr>
    </w:p>
    <w:p w:rsidR="00E1073F" w:rsidRDefault="00E1073F" w:rsidP="00942F0F">
      <w:pPr>
        <w:pStyle w:val="a9"/>
        <w:ind w:left="360" w:firstLine="0"/>
      </w:pPr>
    </w:p>
    <w:p w:rsidR="00942F0F" w:rsidRPr="00942F0F" w:rsidRDefault="00942F0F" w:rsidP="006569ED">
      <w:pPr>
        <w:pStyle w:val="a9"/>
        <w:numPr>
          <w:ilvl w:val="0"/>
          <w:numId w:val="34"/>
        </w:numPr>
        <w:spacing w:after="240"/>
        <w:jc w:val="left"/>
      </w:pPr>
      <w:r w:rsidRPr="006569ED">
        <w:rPr>
          <w:b/>
        </w:rPr>
        <w:t>Требования к</w:t>
      </w:r>
      <w:r w:rsidR="00E1073F" w:rsidRPr="006569ED">
        <w:rPr>
          <w:b/>
        </w:rPr>
        <w:t xml:space="preserve"> прокладк</w:t>
      </w:r>
      <w:r w:rsidRPr="006569ED">
        <w:rPr>
          <w:b/>
        </w:rPr>
        <w:t>е</w:t>
      </w:r>
      <w:r w:rsidR="00E1073F" w:rsidRPr="006569ED">
        <w:rPr>
          <w:b/>
        </w:rPr>
        <w:t xml:space="preserve"> кабелей в ЦОД </w:t>
      </w:r>
    </w:p>
    <w:p w:rsidR="00E1073F" w:rsidRPr="006569ED" w:rsidRDefault="00E1073F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t xml:space="preserve">Все кабели структурированной кабельной системы (СКС) должны быть проложены в сетчатых (проволочных) лотках. Кабели должны быть собраны в пакеты (жгуты). </w:t>
      </w:r>
    </w:p>
    <w:p w:rsidR="00E1073F" w:rsidRPr="006569ED" w:rsidRDefault="00E1073F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t xml:space="preserve">Кабели UTP и оптические Patchcord необходимо разнести по разным сторонам лотка. </w:t>
      </w:r>
    </w:p>
    <w:p w:rsidR="00E1073F" w:rsidRPr="006569ED" w:rsidRDefault="00E1073F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t>При проектировании дополнительных лотков рекомендуется предусматривать раздельные лотки для оптических и медных кабелей.</w:t>
      </w:r>
    </w:p>
    <w:p w:rsidR="00E1073F" w:rsidRPr="006569ED" w:rsidRDefault="00E1073F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t>При пересечении трасс - трасса оптических кабелей всегда должна проходить над трассой медных кабелей.</w:t>
      </w:r>
    </w:p>
    <w:p w:rsidR="00E1073F" w:rsidRPr="006569ED" w:rsidRDefault="00E1073F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t>Крепление кабеля по всей трассе выполняется с помощью специальных стяжек по всей длине (на горизонтальных участках через 1-1,5 м, на вертикальных участках и в шкафах 25-30 см, на коммутационных панелях - у каждого порта).</w:t>
      </w:r>
    </w:p>
    <w:p w:rsidR="00E1073F" w:rsidRPr="006569ED" w:rsidRDefault="00E1073F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t xml:space="preserve">При прокладке кабелей за фальшпотолком их необходимо укладывать в лотки. </w:t>
      </w:r>
    </w:p>
    <w:p w:rsidR="00E1073F" w:rsidRPr="006569ED" w:rsidRDefault="00E1073F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t>Излишки (запас) кабелей следует собрать в бухты и закрепить на внутренних поверхностях боковых стенок телекоммуникационных шкафов, с помощью специальных стяжек и/или самоклеющихся площадок с кольцами.</w:t>
      </w:r>
    </w:p>
    <w:p w:rsidR="00E1073F" w:rsidRPr="006569ED" w:rsidRDefault="00E1073F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t>Запрещено оставлять запас кабеля на кабельростах и сетчатых лотках.</w:t>
      </w:r>
    </w:p>
    <w:p w:rsidR="00E1073F" w:rsidRPr="006569ED" w:rsidRDefault="00E1073F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t>Допускается спуск кабеля с лотков без кабельроста при условии, что длина кабеля на спуске не более 300 мм, либо жгут содержит более 48 кабелей UTP при спуске менее 1000 мм</w:t>
      </w:r>
      <w:r w:rsidR="006569ED">
        <w:rPr>
          <w:color w:val="000000"/>
        </w:rPr>
        <w:t>.</w:t>
      </w:r>
      <w:r w:rsidRPr="006569ED">
        <w:rPr>
          <w:color w:val="000000"/>
        </w:rPr>
        <w:t xml:space="preserve"> Во всех остальных случаях необходим спуск кабеля по лотку.</w:t>
      </w:r>
    </w:p>
    <w:p w:rsidR="00E1073F" w:rsidRPr="006569ED" w:rsidRDefault="00E1073F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t>Повороты под 90˚ выполнять в соответствии с техническими нормами производителей кабельной продукции.</w:t>
      </w:r>
    </w:p>
    <w:p w:rsidR="00E1073F" w:rsidRPr="006569ED" w:rsidRDefault="00E1073F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t>Радиус изгиба оптического кабеля Patchcord – не менее 20 наружных диаметров кабеля (что составляет 50 мм).</w:t>
      </w:r>
    </w:p>
    <w:p w:rsidR="00E1073F" w:rsidRPr="006569ED" w:rsidRDefault="00E1073F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t xml:space="preserve">Радиус изгиба UTP 6 – не менее 12 наружных диаметров кабеля (что составляет 60мм). </w:t>
      </w:r>
    </w:p>
    <w:p w:rsidR="00E1073F" w:rsidRPr="006569ED" w:rsidRDefault="00E1073F" w:rsidP="006569ED">
      <w:pPr>
        <w:pStyle w:val="a9"/>
        <w:numPr>
          <w:ilvl w:val="1"/>
          <w:numId w:val="34"/>
        </w:numPr>
        <w:spacing w:before="120" w:after="60"/>
        <w:jc w:val="left"/>
        <w:rPr>
          <w:color w:val="000000"/>
        </w:rPr>
      </w:pPr>
      <w:r w:rsidRPr="006569ED">
        <w:rPr>
          <w:color w:val="000000"/>
        </w:rPr>
        <w:t>Все элементы СКС должны быть однозначно идентифицированы и промаркированы согласно установленным в ЦОД правилам. Маркировка должна быть выполнена типографским (или при помощи принтера) способом и надежно закреплена на элементах системы.</w:t>
      </w:r>
    </w:p>
    <w:p w:rsidR="00E1073F" w:rsidRPr="00733EBA" w:rsidRDefault="00E1073F" w:rsidP="00942F0F">
      <w:pPr>
        <w:pStyle w:val="a9"/>
        <w:ind w:left="360" w:firstLine="0"/>
      </w:pPr>
    </w:p>
    <w:p w:rsidR="00DA07F7" w:rsidRPr="00733EBA" w:rsidRDefault="00DA07F7" w:rsidP="00942F0F">
      <w:pPr>
        <w:pStyle w:val="a9"/>
        <w:ind w:left="360" w:firstLine="0"/>
      </w:pPr>
    </w:p>
    <w:p w:rsidR="00DA07F7" w:rsidRDefault="00DA07F7" w:rsidP="00942F0F">
      <w:pPr>
        <w:pStyle w:val="a9"/>
        <w:ind w:left="780" w:firstLine="0"/>
      </w:pPr>
    </w:p>
    <w:p w:rsidR="00F54B42" w:rsidRDefault="00F54B42" w:rsidP="00942F0F">
      <w:pPr>
        <w:ind w:firstLine="0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5937250" cy="40576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B42" w:rsidRDefault="00F54B42" w:rsidP="00942F0F">
      <w:pPr>
        <w:ind w:firstLine="0"/>
        <w:rPr>
          <w:sz w:val="18"/>
          <w:szCs w:val="18"/>
        </w:rPr>
      </w:pPr>
    </w:p>
    <w:p w:rsidR="00DA07F7" w:rsidRPr="00F54B42" w:rsidRDefault="00DA07F7" w:rsidP="00942F0F">
      <w:pPr>
        <w:ind w:firstLine="0"/>
        <w:rPr>
          <w:szCs w:val="24"/>
        </w:rPr>
      </w:pPr>
      <w:r w:rsidRPr="00F54B42">
        <w:rPr>
          <w:szCs w:val="24"/>
        </w:rPr>
        <w:t>Рис.1 Размещение стоек в машинном зале</w:t>
      </w:r>
      <w:r w:rsidR="00F54B42" w:rsidRPr="00F54B42">
        <w:rPr>
          <w:szCs w:val="24"/>
        </w:rPr>
        <w:t>.</w:t>
      </w:r>
      <w:r w:rsidRPr="00F54B42">
        <w:rPr>
          <w:szCs w:val="24"/>
        </w:rPr>
        <w:t xml:space="preserve"> Центр коммутаций -</w:t>
      </w:r>
      <w:r w:rsidR="00F54B42">
        <w:rPr>
          <w:szCs w:val="24"/>
        </w:rPr>
        <w:t xml:space="preserve"> </w:t>
      </w:r>
      <w:r w:rsidRPr="00F54B42">
        <w:rPr>
          <w:szCs w:val="24"/>
        </w:rPr>
        <w:t>стойки 6</w:t>
      </w:r>
      <w:r w:rsidRPr="00F54B42">
        <w:rPr>
          <w:szCs w:val="24"/>
          <w:lang w:val="en-US"/>
        </w:rPr>
        <w:t>H</w:t>
      </w:r>
      <w:r w:rsidR="00F54B42" w:rsidRPr="00F54B42">
        <w:rPr>
          <w:szCs w:val="24"/>
        </w:rPr>
        <w:t>7</w:t>
      </w:r>
      <w:r w:rsidR="00F54B42" w:rsidRPr="00F54B42">
        <w:rPr>
          <w:szCs w:val="24"/>
          <w:lang w:val="en-US"/>
        </w:rPr>
        <w:t>N</w:t>
      </w:r>
      <w:r w:rsidR="00F54B42" w:rsidRPr="00F54B42">
        <w:rPr>
          <w:szCs w:val="24"/>
        </w:rPr>
        <w:t>60</w:t>
      </w:r>
      <w:r w:rsidRPr="00F54B42">
        <w:rPr>
          <w:szCs w:val="24"/>
        </w:rPr>
        <w:t xml:space="preserve">, </w:t>
      </w:r>
      <w:r w:rsidR="00F54B42" w:rsidRPr="00F54B42">
        <w:rPr>
          <w:szCs w:val="24"/>
        </w:rPr>
        <w:t>6</w:t>
      </w:r>
      <w:r w:rsidR="00F54B42" w:rsidRPr="00F54B42">
        <w:rPr>
          <w:szCs w:val="24"/>
          <w:lang w:val="en-US"/>
        </w:rPr>
        <w:t>H</w:t>
      </w:r>
      <w:r w:rsidR="00F54B42" w:rsidRPr="00F54B42">
        <w:rPr>
          <w:szCs w:val="24"/>
        </w:rPr>
        <w:t>7</w:t>
      </w:r>
      <w:r w:rsidR="00F54B42" w:rsidRPr="00F54B42">
        <w:rPr>
          <w:szCs w:val="24"/>
          <w:lang w:val="en-US"/>
        </w:rPr>
        <w:t>N</w:t>
      </w:r>
      <w:r w:rsidR="00F54B42" w:rsidRPr="00F54B42">
        <w:rPr>
          <w:szCs w:val="24"/>
        </w:rPr>
        <w:t>70</w:t>
      </w:r>
      <w:r w:rsidRPr="00F54B42">
        <w:rPr>
          <w:szCs w:val="24"/>
        </w:rPr>
        <w:t xml:space="preserve">. </w:t>
      </w:r>
    </w:p>
    <w:sectPr w:rsidR="00DA07F7" w:rsidRPr="00F54B42" w:rsidSect="007E510B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ED" w:rsidRDefault="009700ED">
      <w:r>
        <w:separator/>
      </w:r>
    </w:p>
  </w:endnote>
  <w:endnote w:type="continuationSeparator" w:id="0">
    <w:p w:rsidR="009700ED" w:rsidRDefault="0097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DB" w:rsidRDefault="00905412" w:rsidP="00A97F5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52DB" w:rsidRDefault="00117349" w:rsidP="00A97F5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DB" w:rsidRDefault="00905412" w:rsidP="00A97F5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7349">
      <w:rPr>
        <w:rStyle w:val="a7"/>
        <w:noProof/>
      </w:rPr>
      <w:t>4</w:t>
    </w:r>
    <w:r>
      <w:rPr>
        <w:rStyle w:val="a7"/>
      </w:rPr>
      <w:fldChar w:fldCharType="end"/>
    </w:r>
  </w:p>
  <w:p w:rsidR="009E52DB" w:rsidRDefault="00117349" w:rsidP="00A97F5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ED" w:rsidRDefault="009700ED">
      <w:r>
        <w:separator/>
      </w:r>
    </w:p>
  </w:footnote>
  <w:footnote w:type="continuationSeparator" w:id="0">
    <w:p w:rsidR="009700ED" w:rsidRDefault="00970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8E"/>
    <w:multiLevelType w:val="multilevel"/>
    <w:tmpl w:val="0F6ADA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300D2E"/>
    <w:multiLevelType w:val="multilevel"/>
    <w:tmpl w:val="0518B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D0C2532"/>
    <w:multiLevelType w:val="multilevel"/>
    <w:tmpl w:val="75A4A4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E1731E5"/>
    <w:multiLevelType w:val="multilevel"/>
    <w:tmpl w:val="34AACE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4F066DE"/>
    <w:multiLevelType w:val="multilevel"/>
    <w:tmpl w:val="0F6ADA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5882D74"/>
    <w:multiLevelType w:val="multilevel"/>
    <w:tmpl w:val="FCD66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D64EF0"/>
    <w:multiLevelType w:val="multilevel"/>
    <w:tmpl w:val="0F6ADA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C14539B"/>
    <w:multiLevelType w:val="multilevel"/>
    <w:tmpl w:val="61D20B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D184C7E"/>
    <w:multiLevelType w:val="multilevel"/>
    <w:tmpl w:val="4B8E0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EA30D68"/>
    <w:multiLevelType w:val="multilevel"/>
    <w:tmpl w:val="FF4EDF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2F66F18"/>
    <w:multiLevelType w:val="multilevel"/>
    <w:tmpl w:val="34AACE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180F69"/>
    <w:multiLevelType w:val="multilevel"/>
    <w:tmpl w:val="0518B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97B1DEB"/>
    <w:multiLevelType w:val="multilevel"/>
    <w:tmpl w:val="042AF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DC23945"/>
    <w:multiLevelType w:val="multilevel"/>
    <w:tmpl w:val="75A4A4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ECE595E"/>
    <w:multiLevelType w:val="hybridMultilevel"/>
    <w:tmpl w:val="2F4AA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7660D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387F10"/>
    <w:multiLevelType w:val="multilevel"/>
    <w:tmpl w:val="CB1A4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42B1901"/>
    <w:multiLevelType w:val="multilevel"/>
    <w:tmpl w:val="0F6ADA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E61507D"/>
    <w:multiLevelType w:val="multilevel"/>
    <w:tmpl w:val="34AACE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0787C95"/>
    <w:multiLevelType w:val="multilevel"/>
    <w:tmpl w:val="4B8E0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2B14F76"/>
    <w:multiLevelType w:val="multilevel"/>
    <w:tmpl w:val="75A4A4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F053EB6"/>
    <w:multiLevelType w:val="multilevel"/>
    <w:tmpl w:val="91725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29C5F65"/>
    <w:multiLevelType w:val="multilevel"/>
    <w:tmpl w:val="75A4A4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4AA4D27"/>
    <w:multiLevelType w:val="multilevel"/>
    <w:tmpl w:val="4A0032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82303C0"/>
    <w:multiLevelType w:val="hybridMultilevel"/>
    <w:tmpl w:val="36C6D0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140483"/>
    <w:multiLevelType w:val="multilevel"/>
    <w:tmpl w:val="6B44ACF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A3A3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FC54FC3"/>
    <w:multiLevelType w:val="hybridMultilevel"/>
    <w:tmpl w:val="6682E720"/>
    <w:lvl w:ilvl="0" w:tplc="D228BDA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43640F"/>
    <w:multiLevelType w:val="hybridMultilevel"/>
    <w:tmpl w:val="E7461CD2"/>
    <w:lvl w:ilvl="0" w:tplc="0CFC84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9E24286"/>
    <w:multiLevelType w:val="hybridMultilevel"/>
    <w:tmpl w:val="C7DE0904"/>
    <w:lvl w:ilvl="0" w:tplc="D228BDA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A65D14"/>
    <w:multiLevelType w:val="multilevel"/>
    <w:tmpl w:val="34AACE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4EB2FB7"/>
    <w:multiLevelType w:val="hybridMultilevel"/>
    <w:tmpl w:val="830E4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8D60032"/>
    <w:multiLevelType w:val="multilevel"/>
    <w:tmpl w:val="6328863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CA76BDD"/>
    <w:multiLevelType w:val="multilevel"/>
    <w:tmpl w:val="91725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24"/>
  </w:num>
  <w:num w:numId="3">
    <w:abstractNumId w:val="7"/>
  </w:num>
  <w:num w:numId="4">
    <w:abstractNumId w:val="27"/>
  </w:num>
  <w:num w:numId="5">
    <w:abstractNumId w:val="23"/>
  </w:num>
  <w:num w:numId="6">
    <w:abstractNumId w:val="0"/>
  </w:num>
  <w:num w:numId="7">
    <w:abstractNumId w:val="22"/>
  </w:num>
  <w:num w:numId="8">
    <w:abstractNumId w:val="17"/>
  </w:num>
  <w:num w:numId="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6"/>
  </w:num>
  <w:num w:numId="13">
    <w:abstractNumId w:val="16"/>
  </w:num>
  <w:num w:numId="14">
    <w:abstractNumId w:val="4"/>
  </w:num>
  <w:num w:numId="15">
    <w:abstractNumId w:val="3"/>
  </w:num>
  <w:num w:numId="16">
    <w:abstractNumId w:val="10"/>
  </w:num>
  <w:num w:numId="17">
    <w:abstractNumId w:val="29"/>
  </w:num>
  <w:num w:numId="18">
    <w:abstractNumId w:val="9"/>
  </w:num>
  <w:num w:numId="19">
    <w:abstractNumId w:val="13"/>
  </w:num>
  <w:num w:numId="20">
    <w:abstractNumId w:val="19"/>
  </w:num>
  <w:num w:numId="21">
    <w:abstractNumId w:val="21"/>
  </w:num>
  <w:num w:numId="22">
    <w:abstractNumId w:val="2"/>
  </w:num>
  <w:num w:numId="23">
    <w:abstractNumId w:val="1"/>
  </w:num>
  <w:num w:numId="24">
    <w:abstractNumId w:val="11"/>
  </w:num>
  <w:num w:numId="25">
    <w:abstractNumId w:val="32"/>
  </w:num>
  <w:num w:numId="26">
    <w:abstractNumId w:val="20"/>
  </w:num>
  <w:num w:numId="27">
    <w:abstractNumId w:val="28"/>
  </w:num>
  <w:num w:numId="28">
    <w:abstractNumId w:val="26"/>
  </w:num>
  <w:num w:numId="29">
    <w:abstractNumId w:val="5"/>
  </w:num>
  <w:num w:numId="30">
    <w:abstractNumId w:val="15"/>
  </w:num>
  <w:num w:numId="31">
    <w:abstractNumId w:val="18"/>
  </w:num>
  <w:num w:numId="32">
    <w:abstractNumId w:val="8"/>
  </w:num>
  <w:num w:numId="33">
    <w:abstractNumId w:val="12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12"/>
    <w:rsid w:val="00117349"/>
    <w:rsid w:val="0013484A"/>
    <w:rsid w:val="001408B4"/>
    <w:rsid w:val="00176477"/>
    <w:rsid w:val="001A70B3"/>
    <w:rsid w:val="001A7581"/>
    <w:rsid w:val="001E234F"/>
    <w:rsid w:val="002142BA"/>
    <w:rsid w:val="0027068F"/>
    <w:rsid w:val="002F2443"/>
    <w:rsid w:val="002F38F8"/>
    <w:rsid w:val="00300888"/>
    <w:rsid w:val="00314BB1"/>
    <w:rsid w:val="003659B9"/>
    <w:rsid w:val="003A0663"/>
    <w:rsid w:val="003C1BC0"/>
    <w:rsid w:val="003C6A29"/>
    <w:rsid w:val="00450171"/>
    <w:rsid w:val="004E0AF5"/>
    <w:rsid w:val="00524FA9"/>
    <w:rsid w:val="0052663F"/>
    <w:rsid w:val="00531C32"/>
    <w:rsid w:val="00543F66"/>
    <w:rsid w:val="005D519D"/>
    <w:rsid w:val="0062067C"/>
    <w:rsid w:val="006569ED"/>
    <w:rsid w:val="00671047"/>
    <w:rsid w:val="006856C0"/>
    <w:rsid w:val="006B0BF7"/>
    <w:rsid w:val="006D0FD2"/>
    <w:rsid w:val="00705059"/>
    <w:rsid w:val="00733EBA"/>
    <w:rsid w:val="00746E55"/>
    <w:rsid w:val="00773B1C"/>
    <w:rsid w:val="00790EFE"/>
    <w:rsid w:val="007E510B"/>
    <w:rsid w:val="007F7EC0"/>
    <w:rsid w:val="0083409E"/>
    <w:rsid w:val="008A0B10"/>
    <w:rsid w:val="008C4611"/>
    <w:rsid w:val="008C6036"/>
    <w:rsid w:val="008E756F"/>
    <w:rsid w:val="00905412"/>
    <w:rsid w:val="00942F0F"/>
    <w:rsid w:val="009700ED"/>
    <w:rsid w:val="009B153D"/>
    <w:rsid w:val="009E2ABB"/>
    <w:rsid w:val="009E44FF"/>
    <w:rsid w:val="009F5E71"/>
    <w:rsid w:val="00A1785A"/>
    <w:rsid w:val="00A33E16"/>
    <w:rsid w:val="00A6728E"/>
    <w:rsid w:val="00A97718"/>
    <w:rsid w:val="00AE1672"/>
    <w:rsid w:val="00B03088"/>
    <w:rsid w:val="00B2386B"/>
    <w:rsid w:val="00B47B01"/>
    <w:rsid w:val="00B6502B"/>
    <w:rsid w:val="00BA0506"/>
    <w:rsid w:val="00BA3538"/>
    <w:rsid w:val="00BC7ABD"/>
    <w:rsid w:val="00BD5A54"/>
    <w:rsid w:val="00BE11AE"/>
    <w:rsid w:val="00BF10D9"/>
    <w:rsid w:val="00BF5A7C"/>
    <w:rsid w:val="00C04FD5"/>
    <w:rsid w:val="00C26CA9"/>
    <w:rsid w:val="00CA1A66"/>
    <w:rsid w:val="00CE03EE"/>
    <w:rsid w:val="00D20569"/>
    <w:rsid w:val="00D374D2"/>
    <w:rsid w:val="00D41CF5"/>
    <w:rsid w:val="00D53C3E"/>
    <w:rsid w:val="00D555E0"/>
    <w:rsid w:val="00D61891"/>
    <w:rsid w:val="00D817F3"/>
    <w:rsid w:val="00DA07F7"/>
    <w:rsid w:val="00DB563D"/>
    <w:rsid w:val="00DD3FE3"/>
    <w:rsid w:val="00DD6B4C"/>
    <w:rsid w:val="00DE17A3"/>
    <w:rsid w:val="00E1073F"/>
    <w:rsid w:val="00E148FD"/>
    <w:rsid w:val="00E92327"/>
    <w:rsid w:val="00EA5FB8"/>
    <w:rsid w:val="00EA7DB1"/>
    <w:rsid w:val="00EE27EE"/>
    <w:rsid w:val="00F139C5"/>
    <w:rsid w:val="00F477BC"/>
    <w:rsid w:val="00F54B42"/>
    <w:rsid w:val="00F74612"/>
    <w:rsid w:val="00F77118"/>
    <w:rsid w:val="00F8593A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1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905412"/>
    <w:pPr>
      <w:keepNext/>
      <w:ind w:firstLine="0"/>
      <w:outlineLvl w:val="1"/>
    </w:pPr>
    <w:rPr>
      <w:rFonts w:ascii="Arial" w:hAnsi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5412"/>
    <w:rPr>
      <w:rFonts w:ascii="Arial" w:eastAsia="Times New Roman" w:hAnsi="Arial" w:cs="Times New Roman"/>
      <w:sz w:val="24"/>
      <w:szCs w:val="20"/>
      <w:lang w:val="en-US"/>
    </w:rPr>
  </w:style>
  <w:style w:type="paragraph" w:styleId="a3">
    <w:name w:val="Title"/>
    <w:basedOn w:val="a"/>
    <w:link w:val="a4"/>
    <w:qFormat/>
    <w:rsid w:val="00905412"/>
    <w:pPr>
      <w:spacing w:after="36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0541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rsid w:val="009054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05412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rsid w:val="00905412"/>
  </w:style>
  <w:style w:type="character" w:customStyle="1" w:styleId="apple-converted-space">
    <w:name w:val="apple-converted-space"/>
    <w:basedOn w:val="a0"/>
    <w:rsid w:val="00DB563D"/>
  </w:style>
  <w:style w:type="character" w:styleId="a8">
    <w:name w:val="Hyperlink"/>
    <w:basedOn w:val="a0"/>
    <w:uiPriority w:val="99"/>
    <w:semiHidden/>
    <w:unhideWhenUsed/>
    <w:rsid w:val="00DB563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555E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C6A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6A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1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905412"/>
    <w:pPr>
      <w:keepNext/>
      <w:ind w:firstLine="0"/>
      <w:outlineLvl w:val="1"/>
    </w:pPr>
    <w:rPr>
      <w:rFonts w:ascii="Arial" w:hAnsi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5412"/>
    <w:rPr>
      <w:rFonts w:ascii="Arial" w:eastAsia="Times New Roman" w:hAnsi="Arial" w:cs="Times New Roman"/>
      <w:sz w:val="24"/>
      <w:szCs w:val="20"/>
      <w:lang w:val="en-US"/>
    </w:rPr>
  </w:style>
  <w:style w:type="paragraph" w:styleId="a3">
    <w:name w:val="Title"/>
    <w:basedOn w:val="a"/>
    <w:link w:val="a4"/>
    <w:qFormat/>
    <w:rsid w:val="00905412"/>
    <w:pPr>
      <w:spacing w:after="36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0541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rsid w:val="009054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05412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rsid w:val="00905412"/>
  </w:style>
  <w:style w:type="character" w:customStyle="1" w:styleId="apple-converted-space">
    <w:name w:val="apple-converted-space"/>
    <w:basedOn w:val="a0"/>
    <w:rsid w:val="00DB563D"/>
  </w:style>
  <w:style w:type="character" w:styleId="a8">
    <w:name w:val="Hyperlink"/>
    <w:basedOn w:val="a0"/>
    <w:uiPriority w:val="99"/>
    <w:semiHidden/>
    <w:unhideWhenUsed/>
    <w:rsid w:val="00DB563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555E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C6A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6A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Богов Денис Игоревич</dc:creator>
  <cp:lastModifiedBy>Пользователь Windows</cp:lastModifiedBy>
  <cp:revision>11</cp:revision>
  <cp:lastPrinted>2017-06-07T13:26:00Z</cp:lastPrinted>
  <dcterms:created xsi:type="dcterms:W3CDTF">2017-06-07T13:34:00Z</dcterms:created>
  <dcterms:modified xsi:type="dcterms:W3CDTF">2017-06-15T13:45:00Z</dcterms:modified>
</cp:coreProperties>
</file>