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65" w:rsidRPr="005E7892" w:rsidRDefault="00867265" w:rsidP="00867265">
      <w:pPr>
        <w:ind w:left="4536"/>
        <w:rPr>
          <w:i/>
          <w:sz w:val="18"/>
          <w:szCs w:val="18"/>
        </w:rPr>
      </w:pPr>
      <w:r w:rsidRPr="005E7892">
        <w:rPr>
          <w:i/>
          <w:sz w:val="18"/>
          <w:szCs w:val="18"/>
        </w:rPr>
        <w:t>Приложение № 1</w:t>
      </w:r>
      <w:r w:rsidRPr="005E7892">
        <w:rPr>
          <w:i/>
          <w:sz w:val="18"/>
          <w:szCs w:val="18"/>
        </w:rPr>
        <w:tab/>
      </w:r>
    </w:p>
    <w:p w:rsidR="00867265" w:rsidRPr="005E7892" w:rsidRDefault="00867265" w:rsidP="00867265">
      <w:pPr>
        <w:ind w:left="4536"/>
        <w:rPr>
          <w:i/>
          <w:sz w:val="18"/>
          <w:szCs w:val="18"/>
          <w:u w:val="single"/>
        </w:rPr>
      </w:pPr>
      <w:r w:rsidRPr="005E7892">
        <w:rPr>
          <w:i/>
          <w:sz w:val="18"/>
          <w:szCs w:val="18"/>
        </w:rPr>
        <w:t xml:space="preserve"> к </w:t>
      </w:r>
      <w:proofErr w:type="gramStart"/>
      <w:r w:rsidRPr="005E7892">
        <w:rPr>
          <w:i/>
          <w:sz w:val="18"/>
          <w:szCs w:val="18"/>
        </w:rPr>
        <w:t>Порядку  доступа</w:t>
      </w:r>
      <w:proofErr w:type="gramEnd"/>
      <w:r w:rsidRPr="005E7892">
        <w:rPr>
          <w:i/>
          <w:sz w:val="18"/>
          <w:szCs w:val="18"/>
        </w:rPr>
        <w:t xml:space="preserve"> к инсайдерской информации, правила охраны ее конфиденциальности и контроля за соблюдением требований </w:t>
      </w:r>
      <w:bookmarkStart w:id="0" w:name="_GoBack"/>
      <w:bookmarkEnd w:id="0"/>
      <w:r w:rsidRPr="005E7892">
        <w:rPr>
          <w:i/>
          <w:sz w:val="18"/>
          <w:szCs w:val="18"/>
        </w:rPr>
        <w:t>де</w:t>
      </w:r>
      <w:r w:rsidRPr="005E7892">
        <w:rPr>
          <w:i/>
          <w:sz w:val="18"/>
          <w:szCs w:val="18"/>
        </w:rPr>
        <w:t>й</w:t>
      </w:r>
      <w:r w:rsidRPr="005E7892">
        <w:rPr>
          <w:i/>
          <w:sz w:val="18"/>
          <w:szCs w:val="18"/>
        </w:rPr>
        <w:t xml:space="preserve">ствующего законодательства Российской Федерации ТКБ </w:t>
      </w:r>
      <w:r>
        <w:rPr>
          <w:i/>
          <w:sz w:val="18"/>
          <w:szCs w:val="18"/>
        </w:rPr>
        <w:t>БАНК П</w:t>
      </w:r>
      <w:r w:rsidRPr="005E7892">
        <w:rPr>
          <w:i/>
          <w:sz w:val="18"/>
          <w:szCs w:val="18"/>
        </w:rPr>
        <w:t>АО – Р</w:t>
      </w:r>
      <w:r w:rsidRPr="005E7892">
        <w:rPr>
          <w:i/>
          <w:sz w:val="18"/>
          <w:szCs w:val="18"/>
        </w:rPr>
        <w:t>е</w:t>
      </w:r>
      <w:r w:rsidRPr="005E7892">
        <w:rPr>
          <w:i/>
          <w:sz w:val="18"/>
          <w:szCs w:val="18"/>
        </w:rPr>
        <w:t xml:space="preserve">дакция </w:t>
      </w:r>
      <w:r>
        <w:rPr>
          <w:i/>
          <w:sz w:val="18"/>
          <w:szCs w:val="18"/>
        </w:rPr>
        <w:t>6</w:t>
      </w:r>
      <w:r w:rsidRPr="005E7892">
        <w:rPr>
          <w:i/>
          <w:sz w:val="18"/>
          <w:szCs w:val="18"/>
        </w:rPr>
        <w:tab/>
      </w:r>
    </w:p>
    <w:p w:rsidR="00867265" w:rsidRDefault="00867265" w:rsidP="00867265">
      <w:pPr>
        <w:jc w:val="center"/>
        <w:rPr>
          <w:b/>
        </w:rPr>
      </w:pPr>
    </w:p>
    <w:p w:rsidR="00867265" w:rsidRDefault="00867265" w:rsidP="00867265">
      <w:pPr>
        <w:jc w:val="center"/>
        <w:rPr>
          <w:b/>
        </w:rPr>
      </w:pPr>
    </w:p>
    <w:p w:rsidR="00867265" w:rsidRDefault="00867265" w:rsidP="00867265">
      <w:pPr>
        <w:jc w:val="center"/>
        <w:rPr>
          <w:b/>
          <w:bCs/>
          <w:color w:val="000000"/>
          <w:sz w:val="22"/>
          <w:szCs w:val="20"/>
        </w:rPr>
      </w:pPr>
      <w:r w:rsidRPr="00A56B26">
        <w:rPr>
          <w:b/>
          <w:bCs/>
          <w:color w:val="000000"/>
          <w:sz w:val="22"/>
          <w:szCs w:val="20"/>
        </w:rPr>
        <w:t xml:space="preserve">ПЕРЕЧЕНЬ </w:t>
      </w:r>
      <w:r>
        <w:rPr>
          <w:b/>
          <w:bCs/>
          <w:color w:val="000000"/>
          <w:sz w:val="22"/>
          <w:szCs w:val="20"/>
        </w:rPr>
        <w:t xml:space="preserve">ИНСАЙДЕРСКОЙ </w:t>
      </w:r>
      <w:r w:rsidRPr="00A56B26">
        <w:rPr>
          <w:b/>
          <w:bCs/>
          <w:color w:val="000000"/>
          <w:sz w:val="22"/>
          <w:szCs w:val="20"/>
        </w:rPr>
        <w:t>ИНФОРМАЦИИ</w:t>
      </w:r>
      <w:r>
        <w:rPr>
          <w:b/>
          <w:bCs/>
          <w:color w:val="000000"/>
          <w:sz w:val="22"/>
          <w:szCs w:val="20"/>
        </w:rPr>
        <w:t xml:space="preserve"> ТКБ БАНК ПАО</w:t>
      </w:r>
      <w:bookmarkStart w:id="1" w:name="Par52"/>
      <w:bookmarkStart w:id="2" w:name="Par70"/>
      <w:bookmarkStart w:id="3" w:name="Par144"/>
      <w:bookmarkStart w:id="4" w:name="Par148"/>
      <w:bookmarkStart w:id="5" w:name="Par163"/>
      <w:bookmarkStart w:id="6" w:name="Par304"/>
      <w:bookmarkStart w:id="7" w:name="Par306"/>
      <w:bookmarkEnd w:id="1"/>
      <w:bookmarkEnd w:id="2"/>
      <w:bookmarkEnd w:id="3"/>
      <w:bookmarkEnd w:id="4"/>
      <w:bookmarkEnd w:id="5"/>
      <w:bookmarkEnd w:id="6"/>
      <w:bookmarkEnd w:id="7"/>
    </w:p>
    <w:p w:rsidR="00867265" w:rsidRDefault="00867265" w:rsidP="00867265">
      <w:pPr>
        <w:jc w:val="center"/>
        <w:rPr>
          <w:b/>
          <w:bCs/>
          <w:color w:val="000000"/>
          <w:sz w:val="22"/>
          <w:szCs w:val="20"/>
        </w:rPr>
      </w:pPr>
    </w:p>
    <w:p w:rsidR="00867265" w:rsidRDefault="00867265" w:rsidP="00867265">
      <w:pPr>
        <w:jc w:val="center"/>
        <w:rPr>
          <w:b/>
          <w:bCs/>
          <w:color w:val="000000"/>
          <w:sz w:val="22"/>
          <w:szCs w:val="20"/>
        </w:rPr>
      </w:pPr>
    </w:p>
    <w:p w:rsidR="00867265" w:rsidRPr="00031541" w:rsidRDefault="00867265" w:rsidP="00867265">
      <w:pPr>
        <w:pStyle w:val="a7"/>
        <w:numPr>
          <w:ilvl w:val="0"/>
          <w:numId w:val="1"/>
        </w:numPr>
        <w:spacing w:after="120"/>
        <w:ind w:left="426"/>
        <w:jc w:val="both"/>
        <w:rPr>
          <w:b/>
          <w:color w:val="000000"/>
          <w:sz w:val="22"/>
          <w:szCs w:val="22"/>
          <w:u w:val="single"/>
        </w:rPr>
      </w:pPr>
      <w:r w:rsidRPr="007B0517">
        <w:rPr>
          <w:b/>
          <w:bCs/>
          <w:i/>
          <w:color w:val="000000"/>
          <w:sz w:val="22"/>
          <w:szCs w:val="22"/>
          <w:u w:val="single"/>
        </w:rPr>
        <w:t xml:space="preserve">Информация, относящаяся к инсайдерской информации </w:t>
      </w:r>
      <w:r>
        <w:rPr>
          <w:b/>
          <w:bCs/>
          <w:i/>
          <w:color w:val="000000"/>
          <w:sz w:val="22"/>
          <w:szCs w:val="22"/>
          <w:u w:val="single"/>
        </w:rPr>
        <w:t xml:space="preserve">Банка, являющегося </w:t>
      </w:r>
      <w:r w:rsidRPr="007B0517">
        <w:rPr>
          <w:b/>
          <w:bCs/>
          <w:i/>
          <w:color w:val="000000"/>
          <w:sz w:val="22"/>
          <w:szCs w:val="22"/>
          <w:u w:val="single"/>
        </w:rPr>
        <w:t>эмитенто</w:t>
      </w:r>
      <w:r>
        <w:rPr>
          <w:b/>
          <w:bCs/>
          <w:i/>
          <w:color w:val="000000"/>
          <w:sz w:val="22"/>
          <w:szCs w:val="22"/>
          <w:u w:val="single"/>
        </w:rPr>
        <w:t>м</w:t>
      </w:r>
      <w:r w:rsidRPr="007B0517">
        <w:rPr>
          <w:b/>
          <w:bCs/>
          <w:i/>
          <w:color w:val="000000"/>
          <w:sz w:val="22"/>
          <w:szCs w:val="22"/>
          <w:u w:val="single"/>
        </w:rPr>
        <w:t>:</w:t>
      </w:r>
    </w:p>
    <w:p w:rsidR="00867265" w:rsidRPr="00031541" w:rsidRDefault="00867265" w:rsidP="00867265">
      <w:pPr>
        <w:pStyle w:val="a7"/>
        <w:spacing w:after="120"/>
        <w:ind w:left="426"/>
        <w:jc w:val="both"/>
        <w:rPr>
          <w:b/>
          <w:color w:val="000000"/>
          <w:sz w:val="22"/>
          <w:szCs w:val="22"/>
          <w:u w:val="single"/>
        </w:rPr>
      </w:pP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созыве и проведении общего собрания участников (акционеров) эмитента, об объявлении общего собрания участников (акционеров) эмитента несостоявшимся, а также о решениях, принятых общим собранием участников (акционеров) эмитента или единственным участником (лицом, которому принадлежат все голосующие акции) эмитента</w:t>
      </w:r>
    </w:p>
    <w:p w:rsidR="00867265" w:rsidRPr="005A19AC" w:rsidRDefault="00867265" w:rsidP="00867265">
      <w:pPr>
        <w:numPr>
          <w:ilvl w:val="1"/>
          <w:numId w:val="1"/>
        </w:numPr>
        <w:autoSpaceDE w:val="0"/>
        <w:autoSpaceDN w:val="0"/>
        <w:adjustRightInd w:val="0"/>
        <w:jc w:val="both"/>
        <w:rPr>
          <w:sz w:val="20"/>
          <w:szCs w:val="20"/>
        </w:rPr>
      </w:pPr>
      <w:r w:rsidRPr="005A19AC">
        <w:rPr>
          <w:sz w:val="20"/>
          <w:szCs w:val="20"/>
        </w:rPr>
        <w:t>Информация о проведении заседания совета директоров (наблюдательного совета) эмитента и его повестке дня, а также об отдельных решениях, принятых советом директоров (наблюдательным советом) эмитента:</w:t>
      </w:r>
    </w:p>
    <w:p w:rsidR="00867265" w:rsidRPr="005A19AC" w:rsidRDefault="00867265" w:rsidP="00867265">
      <w:pPr>
        <w:autoSpaceDE w:val="0"/>
        <w:autoSpaceDN w:val="0"/>
        <w:adjustRightInd w:val="0"/>
        <w:ind w:firstLine="283"/>
        <w:jc w:val="both"/>
        <w:rPr>
          <w:sz w:val="20"/>
          <w:szCs w:val="20"/>
        </w:rPr>
      </w:pPr>
      <w:r w:rsidRPr="005A19AC">
        <w:rPr>
          <w:sz w:val="20"/>
          <w:szCs w:val="20"/>
        </w:rPr>
        <w:t>о предложении общему собранию акционеров эмитента, являющегося акционерным обществом, установить в решении о выплате (об объявлении) дивидендов определенную дату, на которую определяются лица, имеющие право на получение дивидендов;</w:t>
      </w:r>
    </w:p>
    <w:p w:rsidR="00867265" w:rsidRPr="005A19AC" w:rsidRDefault="00867265" w:rsidP="00867265">
      <w:pPr>
        <w:autoSpaceDE w:val="0"/>
        <w:autoSpaceDN w:val="0"/>
        <w:adjustRightInd w:val="0"/>
        <w:ind w:firstLine="283"/>
        <w:jc w:val="both"/>
        <w:rPr>
          <w:sz w:val="20"/>
          <w:szCs w:val="20"/>
        </w:rPr>
      </w:pPr>
      <w:r w:rsidRPr="005A19AC">
        <w:rPr>
          <w:sz w:val="20"/>
          <w:szCs w:val="20"/>
        </w:rPr>
        <w:t>о размещении или реализации ценных бумаг эмитента;</w:t>
      </w:r>
    </w:p>
    <w:p w:rsidR="00867265" w:rsidRPr="005A19AC" w:rsidRDefault="00867265" w:rsidP="00867265">
      <w:pPr>
        <w:autoSpaceDE w:val="0"/>
        <w:autoSpaceDN w:val="0"/>
        <w:adjustRightInd w:val="0"/>
        <w:ind w:firstLine="283"/>
        <w:jc w:val="both"/>
        <w:rPr>
          <w:sz w:val="20"/>
          <w:szCs w:val="20"/>
        </w:rPr>
      </w:pPr>
      <w:r w:rsidRPr="005A19AC">
        <w:rPr>
          <w:sz w:val="20"/>
          <w:szCs w:val="20"/>
        </w:rPr>
        <w:t>об определении или о порядке определения цены размещения акций или ценных бумаг, конвертируемых в акции, эмитента, являющегося акционерным обществом;</w:t>
      </w:r>
    </w:p>
    <w:p w:rsidR="00867265" w:rsidRPr="005A19AC" w:rsidRDefault="00867265" w:rsidP="00867265">
      <w:pPr>
        <w:autoSpaceDE w:val="0"/>
        <w:autoSpaceDN w:val="0"/>
        <w:adjustRightInd w:val="0"/>
        <w:ind w:firstLine="283"/>
        <w:jc w:val="both"/>
        <w:rPr>
          <w:sz w:val="20"/>
          <w:szCs w:val="20"/>
        </w:rPr>
      </w:pPr>
      <w:r w:rsidRPr="005A19AC">
        <w:rPr>
          <w:sz w:val="20"/>
          <w:szCs w:val="20"/>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867265" w:rsidRPr="005A19AC" w:rsidRDefault="00867265" w:rsidP="00867265">
      <w:pPr>
        <w:autoSpaceDE w:val="0"/>
        <w:autoSpaceDN w:val="0"/>
        <w:adjustRightInd w:val="0"/>
        <w:ind w:firstLine="283"/>
        <w:jc w:val="both"/>
        <w:rPr>
          <w:sz w:val="20"/>
          <w:szCs w:val="20"/>
        </w:rPr>
      </w:pPr>
      <w:r w:rsidRPr="005A19AC">
        <w:rPr>
          <w:sz w:val="20"/>
          <w:szCs w:val="20"/>
        </w:rPr>
        <w:t>о включении кандидатов в список кандидатур для голосования на общем собрании акционеров эмитента по вопросу об избрании членов совета директоров (наблюдательного совета) эмитента;</w:t>
      </w:r>
    </w:p>
    <w:p w:rsidR="00867265" w:rsidRPr="005A19AC" w:rsidRDefault="00867265" w:rsidP="00867265">
      <w:pPr>
        <w:autoSpaceDE w:val="0"/>
        <w:autoSpaceDN w:val="0"/>
        <w:adjustRightInd w:val="0"/>
        <w:ind w:firstLine="283"/>
        <w:jc w:val="both"/>
        <w:rPr>
          <w:sz w:val="20"/>
          <w:szCs w:val="20"/>
        </w:rPr>
      </w:pPr>
      <w:r w:rsidRPr="005A19AC">
        <w:rPr>
          <w:sz w:val="20"/>
          <w:szCs w:val="20"/>
        </w:rPr>
        <w:t>о рекомендациях в отношении размера дивидендов по акциям эмитента, являющегося акционерным обществом, и порядка их выплаты;</w:t>
      </w:r>
    </w:p>
    <w:p w:rsidR="00867265" w:rsidRPr="005A19AC" w:rsidRDefault="00867265" w:rsidP="00867265">
      <w:pPr>
        <w:autoSpaceDE w:val="0"/>
        <w:autoSpaceDN w:val="0"/>
        <w:adjustRightInd w:val="0"/>
        <w:ind w:firstLine="283"/>
        <w:jc w:val="both"/>
        <w:rPr>
          <w:sz w:val="20"/>
          <w:szCs w:val="20"/>
        </w:rPr>
      </w:pPr>
      <w:r w:rsidRPr="005A19AC">
        <w:rPr>
          <w:sz w:val="20"/>
          <w:szCs w:val="20"/>
        </w:rPr>
        <w:t>об утверждении внутренних документов эмитента;</w:t>
      </w:r>
    </w:p>
    <w:p w:rsidR="00867265" w:rsidRPr="005A19AC" w:rsidRDefault="00867265" w:rsidP="00867265">
      <w:pPr>
        <w:autoSpaceDE w:val="0"/>
        <w:autoSpaceDN w:val="0"/>
        <w:adjustRightInd w:val="0"/>
        <w:ind w:firstLine="283"/>
        <w:jc w:val="both"/>
        <w:rPr>
          <w:sz w:val="20"/>
          <w:szCs w:val="20"/>
        </w:rPr>
      </w:pPr>
      <w:r w:rsidRPr="005A19AC">
        <w:rPr>
          <w:sz w:val="20"/>
          <w:szCs w:val="20"/>
        </w:rPr>
        <w:t>о согласии на совершение или о последующем одобрении сделки (нескольких взаимосвязанных сделок) эмитента,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стоимости активов, определяемой по данным консолидированной финансовой отчетности (финансовой отчетности) эмитента, а если эмитент не обязан составлять и раскрывать консолидированную финансовую отчетность (финансовую отчетность), - по данным бухгалтерской (финансовой) отчетности эмитента на последнюю отчетную дату (дату окончания последнего завершенного отчетного периода,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rsidR="00867265" w:rsidRPr="005A19AC" w:rsidRDefault="00867265" w:rsidP="00867265">
      <w:pPr>
        <w:autoSpaceDE w:val="0"/>
        <w:autoSpaceDN w:val="0"/>
        <w:adjustRightInd w:val="0"/>
        <w:ind w:firstLine="283"/>
        <w:jc w:val="both"/>
        <w:rPr>
          <w:sz w:val="20"/>
          <w:szCs w:val="20"/>
        </w:rPr>
      </w:pPr>
      <w:r w:rsidRPr="005A19AC">
        <w:rPr>
          <w:sz w:val="20"/>
          <w:szCs w:val="20"/>
        </w:rPr>
        <w:t>о передаче полномочий единоличного исполнительного органа эмитента, являющегося хозяйственным обществом, 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rsidR="00867265" w:rsidRPr="005A19AC" w:rsidRDefault="00867265" w:rsidP="00867265">
      <w:pPr>
        <w:pStyle w:val="a7"/>
        <w:spacing w:after="120"/>
        <w:ind w:left="0" w:firstLine="283"/>
        <w:jc w:val="both"/>
        <w:rPr>
          <w:sz w:val="20"/>
          <w:szCs w:val="20"/>
        </w:rPr>
      </w:pPr>
      <w:r w:rsidRPr="005A19AC">
        <w:rPr>
          <w:sz w:val="20"/>
          <w:szCs w:val="20"/>
        </w:rPr>
        <w:t>об утверждении регистратора, осуществляющего ведение реестра владельцев ценных бумаг эмитента, являющегося акционерным обществом, условий договора с ним в части ведения реестра владельцев ценных бумаг эмитента, а также о расторжении договора с ним</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принятии решения о реорганизации или ликвидации лица, предоставившего обеспечение по облигациям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появлении у эмитента или лица, предоставившего обеспечение по облигациям эмитента, признаков банкротства, предусмотренных Федеральным </w:t>
      </w:r>
      <w:hyperlink r:id="rId7" w:history="1">
        <w:r w:rsidRPr="005A19AC">
          <w:rPr>
            <w:color w:val="0000FF"/>
            <w:sz w:val="20"/>
            <w:szCs w:val="20"/>
          </w:rPr>
          <w:t>законом</w:t>
        </w:r>
      </w:hyperlink>
      <w:r w:rsidRPr="005A19AC">
        <w:rPr>
          <w:sz w:val="20"/>
          <w:szCs w:val="20"/>
        </w:rPr>
        <w:t xml:space="preserve"> от 26 октября 2002 года N 127-ФЗ "О несостоятельности (банкротстве)" (Собрание законодательства Российской Федерации, 2002, N 43, ст. 4190; 2021, N 27, ст. 5181)</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принятии арбитражным судом заявления о признании эмитента несостоятельным (банкротом), а также о принятии арбитражным судом решения о признании эмитента несостоятельным (банкротом), введении в отношении эмитента одной из процедур банкротства, прекращении в отношении эмитента производства по делу о банкротстве</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дате, на которую определяются (фиксируются) лица, имеющие право на осуществление прав по ценным бумагам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об этапах процедуры эмиссии ценных бумаг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lastRenderedPageBreak/>
        <w:t>Информация о приостановлении и возобновлении эмиссии ценных бумаг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признании программы облигаций несостоявшейся, о признании выпуска (дополнительного выпуска) ценных бумаг эмитента несостоявшимся или недействительным</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погашении ценных бумаг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принятии решения о приобретении (наступлении оснований для приобретения) эмитентом размещенных им ценных бумаг</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начисленных (объявленных) и (или) выплаченных доходах по ценным бумагам эмитента, об иных выплатах, причитающихся владельцам ценных бумаг эмитента, а также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включении ценных бумаг 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эмитента российской биржей в котировальный список, или об исключении ценных бумаг эмитента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 бумаг эмитента российской биржей из котировального списка, а также о переводе ценных бумаг эмитента из одного котировального списка в другой котировальный список (об исключении ценных бумаг эмитента из одного котировального списка и о включении их в другой котировальный список)</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включении ценных бумаг эмитента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эмитента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неисполнении обязательств эмитента перед владельцами его ценных бумаг, а также об изменении общего количества облигаций, обязательства по досрочному погашению которых не исполнены</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поступившем эмитенту в соответствии с </w:t>
      </w:r>
      <w:hyperlink r:id="rId8" w:history="1">
        <w:r w:rsidRPr="005A19AC">
          <w:rPr>
            <w:color w:val="0000FF"/>
            <w:sz w:val="20"/>
            <w:szCs w:val="20"/>
          </w:rPr>
          <w:t>главой XI.1</w:t>
        </w:r>
      </w:hyperlink>
      <w:r w:rsidRPr="005A19AC">
        <w:rPr>
          <w:sz w:val="20"/>
          <w:szCs w:val="20"/>
        </w:rPr>
        <w:t xml:space="preserve"> Федерального закона от 26 декабря 1995 года N 208-ФЗ "Об акционерных обществах" (Собрание законодательства Российской Федерации, 1996, N 1, ст. 1; 2006, N 2, ст. 172; 2016, N 27, ст. 4276) (далее - Федеральный закон "Об акционерных обществах")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поступившем эмитенту в соответствии с </w:t>
      </w:r>
      <w:hyperlink r:id="rId9" w:history="1">
        <w:r w:rsidRPr="005A19AC">
          <w:rPr>
            <w:color w:val="0000FF"/>
            <w:sz w:val="20"/>
            <w:szCs w:val="20"/>
          </w:rPr>
          <w:t>главой XI.1</w:t>
        </w:r>
      </w:hyperlink>
      <w:r w:rsidRPr="005A19AC">
        <w:rPr>
          <w:sz w:val="20"/>
          <w:szCs w:val="20"/>
        </w:rPr>
        <w:t xml:space="preserve"> Федерального закона "Об акционерных обществах" уведомлении о праве требовать выкупа ценных бумаг эмитента или требовании о выкупе ценных бумаг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выявлении ошибок в ранее раскрытой отчетности эмитента (бухгалтерской (финансовой) отчетности, консолидированной финансовой отчетности, финансовой отчетности)</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совершении эмитентом или подконтрольной эмитенту организацией, имеющей для него существенное значение, определяемой в соответствии с </w:t>
      </w:r>
      <w:hyperlink r:id="rId10" w:history="1">
        <w:r w:rsidRPr="005A19AC">
          <w:rPr>
            <w:color w:val="0000FF"/>
            <w:sz w:val="20"/>
            <w:szCs w:val="20"/>
          </w:rPr>
          <w:t>пунктом 1.14</w:t>
        </w:r>
      </w:hyperlink>
      <w:r w:rsidRPr="005A19AC">
        <w:rPr>
          <w:sz w:val="20"/>
          <w:szCs w:val="20"/>
        </w:rPr>
        <w:t xml:space="preserve"> Положения Банка России N 714-П (далее - подконтрольная эмитенту организация, имеющая для него существенное значение), сделки, размер которой составляет 10 и более процентов стоимости активов, определенной по данным консолидированной финансовой отчетности эмитента (определенной по данным финансовой отчетности эмитента, если сделка совершается эмитентом, который не обязан составлять и раскрывать консолидированную финансовую отчетность, или по данным бухгалтерской (финансовой) отчетности эмитента, если сделка совершается эмитентом, который не обязан составлять и раскрывать финансовую отчетность, либо в совокупности по данным бухгалтерской (финансовой) отчетности (совокупная стоимость активов) эмитента и подконтрольной эмитенту организации, имеющей для него существенное значение, если эмитент не обязан составлять и раскрывать консолидированную финансовую отчетность и сделка совершается подконтрольной эмитенту организацией, имеющей для него существенное значение) на последнюю отчетную дату (дату окончания последнего завершенного отчетного периода, предшествующего дате совершения сделки)</w:t>
      </w:r>
    </w:p>
    <w:p w:rsidR="00867265" w:rsidRPr="005A19AC" w:rsidRDefault="00867265" w:rsidP="00867265">
      <w:pPr>
        <w:pStyle w:val="a7"/>
        <w:numPr>
          <w:ilvl w:val="1"/>
          <w:numId w:val="1"/>
        </w:numPr>
        <w:spacing w:after="120"/>
        <w:jc w:val="both"/>
        <w:rPr>
          <w:sz w:val="20"/>
          <w:szCs w:val="20"/>
        </w:rPr>
      </w:pPr>
      <w:r w:rsidRPr="005A19AC">
        <w:rPr>
          <w:sz w:val="20"/>
          <w:szCs w:val="20"/>
        </w:rPr>
        <w:lastRenderedPageBreak/>
        <w:t xml:space="preserve">Информация 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w:t>
      </w:r>
      <w:hyperlink r:id="rId11" w:history="1">
        <w:r w:rsidRPr="005A19AC">
          <w:rPr>
            <w:color w:val="0000FF"/>
            <w:sz w:val="20"/>
            <w:szCs w:val="20"/>
          </w:rPr>
          <w:t>пункте 35.1</w:t>
        </w:r>
      </w:hyperlink>
      <w:r w:rsidRPr="005A19AC">
        <w:rPr>
          <w:sz w:val="20"/>
          <w:szCs w:val="20"/>
        </w:rPr>
        <w:t xml:space="preserve"> Положения Банка России N 714-П</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заключении контролирующим эмитента лицом или подконтрольной эмитенту организацией договора, предусматривающего обязанность приобретать ценные бумаги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возбуждении производства по делу в суде по спору, связанному с созданием эмитента, управлением им или участием в нем (далее - корпоративный спор), или иному спору, истцом или ответчиком по которому является эмитент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эмитента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w:t>
      </w:r>
      <w:hyperlink r:id="rId12" w:history="1">
        <w:r w:rsidRPr="005A19AC">
          <w:rPr>
            <w:color w:val="0000FF"/>
            <w:sz w:val="20"/>
            <w:szCs w:val="20"/>
          </w:rPr>
          <w:t>пункте 41.6</w:t>
        </w:r>
      </w:hyperlink>
      <w:r w:rsidRPr="005A19AC">
        <w:rPr>
          <w:sz w:val="20"/>
          <w:szCs w:val="20"/>
        </w:rPr>
        <w:t xml:space="preserve"> Положения Банка России N 714-П</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решении Банка России об освобождении эмитента от обязанности осуществлять раскрытие информации в соответствии со </w:t>
      </w:r>
      <w:hyperlink r:id="rId13" w:history="1">
        <w:r w:rsidRPr="005A19AC">
          <w:rPr>
            <w:color w:val="0000FF"/>
            <w:sz w:val="20"/>
            <w:szCs w:val="20"/>
          </w:rPr>
          <w:t>статьей 30</w:t>
        </w:r>
      </w:hyperlink>
      <w:r w:rsidRPr="005A19AC">
        <w:rPr>
          <w:sz w:val="20"/>
          <w:szCs w:val="20"/>
        </w:rPr>
        <w:t xml:space="preserve"> Федерального закона "О рынке ценных бумаг" (Собрание законодательства Российской Федерации, 1996, N 17, ст. 1918; 2018, N 53, ст. 8440)</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приобретении (отчуждении) голосующих акций (долей) эмитента или депозитарных ценных бумаг, удостоверяющих права в отношении голосующих акций эмитента, эмитентом или подконтрольной эмитенту организацией, за исключением случаев приобретения голосующих акций эмитента (депозитарных ценных бумаг, удостоверяющих права в отношении голосующих акций эмитента) в процессе размещения голосующих акций эмитента или приобретения (отчуждения) голосующих акций эмитента (депозитарных ценных бумаг, удостоверяющих права в отношении голосующих акций эмитента) брокером и (или) доверительным управляющим, действующими от своего имени, но за счет клиента во исполнение поручения клиента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проведении и повестке дня общего собрания владельцев облигаций эмитента, о решениях, принятых общим собранием владельцев облигаций эмитента, а также об объявлении общего собрания владельцев облигаций эмитента несостоявшимся</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об определении эмитентом облигаций представителя владельцев облигаций после регистрации выпуска облигаций</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дате, с которой представитель владельцев облигаций осуществляет свои полномочия</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возникновении у владельцев конвертируемых ценных бумаг эмитента права требовать от эмитента конвертации принадлежащих им конвертируемых ценных бумаг эмитента</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об отобранном эмитентом проекте (проектах), для финансирования и (или) рефинансирования которого (которых) используются (будут использоваться) денежные средства, полученные от размещения облигаций, выпуск (программа) которых дополнительно идентифицирован (идентифицирована) с использованием слов "зеленые облигации", "социальные облигации", "облигации устойчивого развития", "адаптационные облигации" (далее соответственно - зеленые облигации, социальные облигации, облигации устойчивого развития, адаптационные облигации), в случае если такой проект (проекты) не указан в решении о </w:t>
      </w:r>
      <w:r w:rsidRPr="005A19AC">
        <w:rPr>
          <w:sz w:val="20"/>
          <w:szCs w:val="20"/>
        </w:rPr>
        <w:lastRenderedPageBreak/>
        <w:t>выпуске зеленых облигаций, социальных облигаций, облигаций устойчивого развития, адаптационных облигаций</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проведении и результатах независимой внешней оценки соответствия выпуска (программы) зеленых облигаций, социальных облигаций, облигаций устойчивого развития, облигаций, выпуск (программа) которых дополнительно идентифицирован (идентифицирована) с использованием слов "облигации, связанные с целями устойчивого развития" (далее - облигации, связанные с целями устойчивого развития), адаптационных облигаций либо политики эмитента по использованию денежных средств, полученных от размещения указанных облигаций, или проекта (проектов), на финансирование (рефинансирование) которого (которых) будут использованы денежные средства, полученные от размещения указанных облигаций, принципам и стандартам финансовых инструментов, указанным в решении о выпуске таких облигаций</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проведении и результатах независимой внешней оценки изменений, внесенных в политику эмитента по использованию денежных средств, полученных от размещения зеленых облигаций, социальных облигаций, облигаций устойчивого развития, адаптационных облигаций</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проведении и результатах независимой внешней оценки изменений, внесенных в стратегию климатического перехода (если изменения касаются целевых показателей деятельности эмитента и их промежуточных и конечных значений, </w:t>
      </w:r>
      <w:proofErr w:type="spellStart"/>
      <w:r w:rsidRPr="005A19AC">
        <w:rPr>
          <w:sz w:val="20"/>
          <w:szCs w:val="20"/>
        </w:rPr>
        <w:t>международно</w:t>
      </w:r>
      <w:proofErr w:type="spellEnd"/>
      <w:r w:rsidRPr="005A19AC">
        <w:rPr>
          <w:sz w:val="20"/>
          <w:szCs w:val="20"/>
        </w:rPr>
        <w:t xml:space="preserve"> признанного сценария изменения климата, являющегося основой для разработки стратегии климатического перехода эмитента, а также влияют на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 эмитента облигаций, выпуск (программа) которых дополнительно идентифицирован (идентифицирована) с использованием слов "облигации климатического перехода" (далее - облигации климатического перехода)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нецелевом использовании денежных средств, полученных от размещения зеленых облигаций, облигаций, выпуск (программа) которых дополнительно идентифицирован (идентифицирована) с использованием слов "инфраструктурные облигации", социальных облигаций, облигаций устойчивого развития, адаптационных облигаций, и о наступлении последствий нецелевого использования указанных денежных средств, предусмотренных решением о выпуске облигаций</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нарушении принципов и стандартов финансовых инструментов, указанных в решении о выпуске облигаций, при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включении зеленых облигаций, социальных облигаций, облигаций устойчивого развития, адаптационных облигаций в перечень финансовых инструментов устойчивого развития, публикуемый на специализированной странице методологического центра Государственной корпорации развития "ВЭБ.РФ" в информационно-телекоммуникационной сети "Интернет", или в перечень финансовых инструментов устойчивого развития, ведение которого осуществляется Международной ассоциацией рынков капитала (ICMA) или Международной некоммерческой организацией "Инициатива климатических облигаций" (CBI), и об исключении таких облигаций из указанного перечня</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достижении или </w:t>
      </w:r>
      <w:proofErr w:type="spellStart"/>
      <w:r w:rsidRPr="005A19AC">
        <w:rPr>
          <w:sz w:val="20"/>
          <w:szCs w:val="20"/>
        </w:rPr>
        <w:t>недостижении</w:t>
      </w:r>
      <w:proofErr w:type="spellEnd"/>
      <w:r w:rsidRPr="005A19AC">
        <w:rPr>
          <w:sz w:val="20"/>
          <w:szCs w:val="20"/>
        </w:rPr>
        <w:t xml:space="preserve"> промежуточных (при наличии) или конечного целевых значений ключевого показателя (показателей) деятельности эмитента облигаций, указанного (указанных) в решении о выпуске облигаций, связанных с целями устойчивого развития</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достижении или </w:t>
      </w:r>
      <w:proofErr w:type="spellStart"/>
      <w:r w:rsidRPr="005A19AC">
        <w:rPr>
          <w:sz w:val="20"/>
          <w:szCs w:val="20"/>
        </w:rPr>
        <w:t>недостижении</w:t>
      </w:r>
      <w:proofErr w:type="spellEnd"/>
      <w:r w:rsidRPr="005A19AC">
        <w:rPr>
          <w:sz w:val="20"/>
          <w:szCs w:val="20"/>
        </w:rPr>
        <w:t xml:space="preserve"> промежуточных или конечных значений целевых показателей деятельности эмитента облигаций климатического перехода, указанных в стратегии эмитента по изменению его деятельности в целях перехода к </w:t>
      </w:r>
      <w:proofErr w:type="spellStart"/>
      <w:r w:rsidRPr="005A19AC">
        <w:rPr>
          <w:sz w:val="20"/>
          <w:szCs w:val="20"/>
        </w:rPr>
        <w:t>низкоуглеродной</w:t>
      </w:r>
      <w:proofErr w:type="spellEnd"/>
      <w:r w:rsidRPr="005A19AC">
        <w:rPr>
          <w:sz w:val="20"/>
          <w:szCs w:val="20"/>
        </w:rPr>
        <w:t xml:space="preserve"> экономике (</w:t>
      </w:r>
      <w:proofErr w:type="spellStart"/>
      <w:r w:rsidRPr="005A19AC">
        <w:rPr>
          <w:sz w:val="20"/>
          <w:szCs w:val="20"/>
        </w:rPr>
        <w:t>энергоперехода</w:t>
      </w:r>
      <w:proofErr w:type="spellEnd"/>
      <w:r w:rsidRPr="005A19AC">
        <w:rPr>
          <w:sz w:val="20"/>
          <w:szCs w:val="20"/>
        </w:rPr>
        <w:t xml:space="preserve">), предотвращения изменений климата и достижения иных целей, установленных Парижским </w:t>
      </w:r>
      <w:hyperlink r:id="rId14" w:history="1">
        <w:r w:rsidRPr="005A19AC">
          <w:rPr>
            <w:color w:val="0000FF"/>
            <w:sz w:val="20"/>
            <w:szCs w:val="20"/>
          </w:rPr>
          <w:t>соглашением</w:t>
        </w:r>
      </w:hyperlink>
      <w:r w:rsidRPr="005A19AC">
        <w:rPr>
          <w:sz w:val="20"/>
          <w:szCs w:val="20"/>
        </w:rPr>
        <w:t xml:space="preserve"> от 12 декабря 2015 года, принятым </w:t>
      </w:r>
      <w:hyperlink r:id="rId15" w:history="1">
        <w:r w:rsidRPr="005A19AC">
          <w:rPr>
            <w:color w:val="0000FF"/>
            <w:sz w:val="20"/>
            <w:szCs w:val="20"/>
          </w:rPr>
          <w:t>постановлением</w:t>
        </w:r>
      </w:hyperlink>
      <w:r w:rsidRPr="005A19AC">
        <w:rPr>
          <w:sz w:val="20"/>
          <w:szCs w:val="20"/>
        </w:rPr>
        <w:t xml:space="preserve"> Правительства Российской Федерации от 21 сентября 2019 года N 1228 "О принятии Парижского соглашения" (вступило в силу для Российской Федерации 6 ноября 2019 года)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принятии уполномоченным органом эмитента, являющегося кредитной организацией, решения о полном (частичном) прекращении обязательств по выплате основного долга, по невыплаченным процентам и по финансовым санкциям за неисполнение обязательств по субординированным облигационным займам</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принятии уполномоченным органом эмитента, являющегося кредитной организацией, решения об отказе в одностороннем порядке от уплаты процента (купона) по субординированным облигационным займам</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содержащаяся в годовых отчетах эмитента, являющегося акционерным обществом, за исключением информации, которая ранее уже была раскрыта</w:t>
      </w:r>
    </w:p>
    <w:p w:rsidR="00867265" w:rsidRPr="005A19AC" w:rsidRDefault="00867265" w:rsidP="00867265">
      <w:pPr>
        <w:pStyle w:val="a7"/>
        <w:numPr>
          <w:ilvl w:val="1"/>
          <w:numId w:val="1"/>
        </w:numPr>
        <w:spacing w:after="120"/>
        <w:jc w:val="both"/>
        <w:rPr>
          <w:sz w:val="20"/>
          <w:szCs w:val="20"/>
        </w:rPr>
      </w:pPr>
      <w:r w:rsidRPr="005A19AC">
        <w:rPr>
          <w:sz w:val="20"/>
          <w:szCs w:val="20"/>
        </w:rPr>
        <w:lastRenderedPageBreak/>
        <w:t>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содержащаяся в проспекте ценных бумаг эмитента, за исключением информации, которая ранее уже была раскрыта</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заключении эмитентом договора о стратегическом партнерстве или иного договора (сделки), за исключением договоров (сделок), предусмотренных </w:t>
      </w:r>
      <w:hyperlink w:anchor="Par144" w:history="1">
        <w:r w:rsidRPr="005A19AC">
          <w:rPr>
            <w:color w:val="0000FF"/>
            <w:sz w:val="20"/>
            <w:szCs w:val="20"/>
          </w:rPr>
          <w:t>строками 1.21</w:t>
        </w:r>
      </w:hyperlink>
      <w:r w:rsidRPr="005A19AC">
        <w:rPr>
          <w:sz w:val="20"/>
          <w:szCs w:val="20"/>
        </w:rPr>
        <w:t xml:space="preserve">, </w:t>
      </w:r>
      <w:hyperlink w:anchor="Par148" w:history="1">
        <w:r w:rsidRPr="005A19AC">
          <w:rPr>
            <w:color w:val="0000FF"/>
            <w:sz w:val="20"/>
            <w:szCs w:val="20"/>
          </w:rPr>
          <w:t>1.22</w:t>
        </w:r>
      </w:hyperlink>
      <w:r w:rsidRPr="005A19AC">
        <w:rPr>
          <w:sz w:val="20"/>
          <w:szCs w:val="20"/>
        </w:rPr>
        <w:t xml:space="preserve"> и </w:t>
      </w:r>
      <w:hyperlink w:anchor="Par163" w:history="1">
        <w:r w:rsidRPr="005A19AC">
          <w:rPr>
            <w:color w:val="0000FF"/>
            <w:sz w:val="20"/>
            <w:szCs w:val="20"/>
          </w:rPr>
          <w:t>1.27</w:t>
        </w:r>
      </w:hyperlink>
      <w:r w:rsidRPr="005A19AC">
        <w:rPr>
          <w:sz w:val="20"/>
          <w:szCs w:val="20"/>
        </w:rPr>
        <w:t xml:space="preserve"> настоящего приложения, если заключение такого договора (сделки)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об обстоятельствах, предусмотренных </w:t>
      </w:r>
      <w:hyperlink r:id="rId16" w:history="1">
        <w:r w:rsidRPr="005A19AC">
          <w:rPr>
            <w:color w:val="0000FF"/>
            <w:sz w:val="20"/>
            <w:szCs w:val="20"/>
          </w:rPr>
          <w:t>абзацем вторым подпункта 23 пункта 1 статьи 2</w:t>
        </w:r>
      </w:hyperlink>
      <w:r w:rsidRPr="005A19AC">
        <w:rPr>
          <w:sz w:val="20"/>
          <w:szCs w:val="20"/>
        </w:rPr>
        <w:t xml:space="preserve"> Федерального закона "О рынке ценных бумаг", в зависимости от наступления или </w:t>
      </w:r>
      <w:proofErr w:type="spellStart"/>
      <w:r w:rsidRPr="005A19AC">
        <w:rPr>
          <w:sz w:val="20"/>
          <w:szCs w:val="20"/>
        </w:rPr>
        <w:t>ненаступления</w:t>
      </w:r>
      <w:proofErr w:type="spellEnd"/>
      <w:r w:rsidRPr="005A19AC">
        <w:rPr>
          <w:sz w:val="20"/>
          <w:szCs w:val="20"/>
        </w:rPr>
        <w:t xml:space="preserve"> которых осуществляются либо не осуществляются выплаты по структурным облигациям 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эмитента до начала размещения структурных облигаций в соответствии с </w:t>
      </w:r>
      <w:hyperlink r:id="rId17" w:history="1">
        <w:r w:rsidRPr="005A19AC">
          <w:rPr>
            <w:color w:val="0000FF"/>
            <w:sz w:val="20"/>
            <w:szCs w:val="20"/>
          </w:rPr>
          <w:t>подпунктами 1</w:t>
        </w:r>
      </w:hyperlink>
      <w:r w:rsidRPr="005A19AC">
        <w:rPr>
          <w:sz w:val="20"/>
          <w:szCs w:val="20"/>
        </w:rPr>
        <w:t xml:space="preserve"> и </w:t>
      </w:r>
      <w:hyperlink r:id="rId18" w:history="1">
        <w:r w:rsidRPr="005A19AC">
          <w:rPr>
            <w:color w:val="0000FF"/>
            <w:sz w:val="20"/>
            <w:szCs w:val="20"/>
          </w:rPr>
          <w:t>2 пункта 3 статьи 27.1-1</w:t>
        </w:r>
      </w:hyperlink>
      <w:r w:rsidRPr="005A19AC">
        <w:rPr>
          <w:sz w:val="20"/>
          <w:szCs w:val="20"/>
        </w:rPr>
        <w:t xml:space="preserve"> Федерального закона "О рынке ценных бумаг" (Собрание законодательства Российской Федерации, 1996, N 17, ст. 1918; 2018, N 53, ст. 8440), за исключением информации, которая ранее уже была раскрыта (в случае если такая информация не содержится в решении о выпуске структурных облигаций)</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 возбуждении уголовного дела (поступившая эмитенту от органов предварительного следствия или органов дознания) в отношении лица, входящего в состав органов управления эмитента,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эмитента, допущенным к организованным торгам (в отношении которых подана заявка о допуске к организованным торгам)</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содержащаяся в формах отчетности, указанных в </w:t>
      </w:r>
      <w:hyperlink r:id="rId19" w:history="1">
        <w:r w:rsidRPr="005A19AC">
          <w:rPr>
            <w:color w:val="0000FF"/>
            <w:sz w:val="20"/>
            <w:szCs w:val="20"/>
          </w:rPr>
          <w:t>строках 17</w:t>
        </w:r>
      </w:hyperlink>
      <w:r w:rsidRPr="005A19AC">
        <w:rPr>
          <w:sz w:val="20"/>
          <w:szCs w:val="20"/>
        </w:rPr>
        <w:t xml:space="preserve">, </w:t>
      </w:r>
      <w:hyperlink r:id="rId20" w:history="1">
        <w:r w:rsidRPr="005A19AC">
          <w:rPr>
            <w:color w:val="0000FF"/>
            <w:sz w:val="20"/>
            <w:szCs w:val="20"/>
          </w:rPr>
          <w:t>18</w:t>
        </w:r>
      </w:hyperlink>
      <w:r w:rsidRPr="005A19AC">
        <w:rPr>
          <w:sz w:val="20"/>
          <w:szCs w:val="20"/>
        </w:rPr>
        <w:t xml:space="preserve">, </w:t>
      </w:r>
      <w:hyperlink r:id="rId21" w:history="1">
        <w:r w:rsidRPr="005A19AC">
          <w:rPr>
            <w:color w:val="0000FF"/>
            <w:sz w:val="20"/>
            <w:szCs w:val="20"/>
          </w:rPr>
          <w:t>22</w:t>
        </w:r>
      </w:hyperlink>
      <w:r w:rsidRPr="005A19AC">
        <w:rPr>
          <w:sz w:val="20"/>
          <w:szCs w:val="20"/>
        </w:rPr>
        <w:t xml:space="preserve">, </w:t>
      </w:r>
      <w:hyperlink r:id="rId22" w:history="1">
        <w:r w:rsidRPr="005A19AC">
          <w:rPr>
            <w:color w:val="0000FF"/>
            <w:sz w:val="20"/>
            <w:szCs w:val="20"/>
          </w:rPr>
          <w:t>23</w:t>
        </w:r>
      </w:hyperlink>
      <w:r w:rsidRPr="005A19AC">
        <w:rPr>
          <w:sz w:val="20"/>
          <w:szCs w:val="20"/>
        </w:rPr>
        <w:t xml:space="preserve">, </w:t>
      </w:r>
      <w:hyperlink r:id="rId23" w:history="1">
        <w:r w:rsidRPr="005A19AC">
          <w:rPr>
            <w:color w:val="0000FF"/>
            <w:sz w:val="20"/>
            <w:szCs w:val="20"/>
          </w:rPr>
          <w:t>25</w:t>
        </w:r>
      </w:hyperlink>
      <w:r w:rsidRPr="005A19AC">
        <w:rPr>
          <w:sz w:val="20"/>
          <w:szCs w:val="20"/>
        </w:rPr>
        <w:t xml:space="preserve"> - </w:t>
      </w:r>
      <w:hyperlink r:id="rId24" w:history="1">
        <w:r w:rsidRPr="005A19AC">
          <w:rPr>
            <w:color w:val="0000FF"/>
            <w:sz w:val="20"/>
            <w:szCs w:val="20"/>
          </w:rPr>
          <w:t>27</w:t>
        </w:r>
      </w:hyperlink>
      <w:r w:rsidRPr="005A19AC">
        <w:rPr>
          <w:sz w:val="20"/>
          <w:szCs w:val="20"/>
        </w:rPr>
        <w:t xml:space="preserve">, </w:t>
      </w:r>
      <w:hyperlink r:id="rId25" w:history="1">
        <w:r w:rsidRPr="005A19AC">
          <w:rPr>
            <w:color w:val="0000FF"/>
            <w:sz w:val="20"/>
            <w:szCs w:val="20"/>
          </w:rPr>
          <w:t>30</w:t>
        </w:r>
      </w:hyperlink>
      <w:r w:rsidRPr="005A19AC">
        <w:rPr>
          <w:sz w:val="20"/>
          <w:szCs w:val="20"/>
        </w:rPr>
        <w:t xml:space="preserve"> - </w:t>
      </w:r>
      <w:hyperlink r:id="rId26" w:history="1">
        <w:r w:rsidRPr="005A19AC">
          <w:rPr>
            <w:color w:val="0000FF"/>
            <w:sz w:val="20"/>
            <w:szCs w:val="20"/>
          </w:rPr>
          <w:t>32</w:t>
        </w:r>
      </w:hyperlink>
      <w:r w:rsidRPr="005A19AC">
        <w:rPr>
          <w:sz w:val="20"/>
          <w:szCs w:val="20"/>
        </w:rPr>
        <w:t xml:space="preserve">, </w:t>
      </w:r>
      <w:hyperlink r:id="rId27" w:history="1">
        <w:r w:rsidRPr="005A19AC">
          <w:rPr>
            <w:color w:val="0000FF"/>
            <w:sz w:val="20"/>
            <w:szCs w:val="20"/>
          </w:rPr>
          <w:t>34</w:t>
        </w:r>
      </w:hyperlink>
      <w:r w:rsidRPr="005A19AC">
        <w:rPr>
          <w:sz w:val="20"/>
          <w:szCs w:val="20"/>
        </w:rPr>
        <w:t xml:space="preserve"> - </w:t>
      </w:r>
      <w:hyperlink r:id="rId28" w:history="1">
        <w:r w:rsidRPr="005A19AC">
          <w:rPr>
            <w:color w:val="0000FF"/>
            <w:sz w:val="20"/>
            <w:szCs w:val="20"/>
          </w:rPr>
          <w:t>40</w:t>
        </w:r>
      </w:hyperlink>
      <w:r w:rsidRPr="005A19AC">
        <w:rPr>
          <w:sz w:val="20"/>
          <w:szCs w:val="20"/>
        </w:rPr>
        <w:t xml:space="preserve">, </w:t>
      </w:r>
      <w:hyperlink r:id="rId29" w:history="1">
        <w:r w:rsidRPr="005A19AC">
          <w:rPr>
            <w:color w:val="0000FF"/>
            <w:sz w:val="20"/>
            <w:szCs w:val="20"/>
          </w:rPr>
          <w:t>45</w:t>
        </w:r>
      </w:hyperlink>
      <w:r w:rsidRPr="005A19AC">
        <w:rPr>
          <w:sz w:val="20"/>
          <w:szCs w:val="20"/>
        </w:rPr>
        <w:t xml:space="preserve">, </w:t>
      </w:r>
      <w:hyperlink r:id="rId30" w:history="1">
        <w:r w:rsidRPr="005A19AC">
          <w:rPr>
            <w:color w:val="0000FF"/>
            <w:sz w:val="20"/>
            <w:szCs w:val="20"/>
          </w:rPr>
          <w:t>47</w:t>
        </w:r>
      </w:hyperlink>
      <w:r w:rsidRPr="005A19AC">
        <w:rPr>
          <w:sz w:val="20"/>
          <w:szCs w:val="20"/>
        </w:rPr>
        <w:t xml:space="preserve">, </w:t>
      </w:r>
      <w:hyperlink r:id="rId31" w:history="1">
        <w:r w:rsidRPr="005A19AC">
          <w:rPr>
            <w:color w:val="0000FF"/>
            <w:sz w:val="20"/>
            <w:szCs w:val="20"/>
          </w:rPr>
          <w:t>49</w:t>
        </w:r>
      </w:hyperlink>
      <w:r w:rsidRPr="005A19AC">
        <w:rPr>
          <w:sz w:val="20"/>
          <w:szCs w:val="20"/>
        </w:rPr>
        <w:t xml:space="preserve">, </w:t>
      </w:r>
      <w:hyperlink r:id="rId32" w:history="1">
        <w:r w:rsidRPr="005A19AC">
          <w:rPr>
            <w:color w:val="0000FF"/>
            <w:sz w:val="20"/>
            <w:szCs w:val="20"/>
          </w:rPr>
          <w:t>51</w:t>
        </w:r>
      </w:hyperlink>
      <w:r w:rsidRPr="005A19AC">
        <w:rPr>
          <w:sz w:val="20"/>
          <w:szCs w:val="20"/>
        </w:rPr>
        <w:t xml:space="preserve">, </w:t>
      </w:r>
      <w:hyperlink r:id="rId33" w:history="1">
        <w:r w:rsidRPr="005A19AC">
          <w:rPr>
            <w:color w:val="0000FF"/>
            <w:sz w:val="20"/>
            <w:szCs w:val="20"/>
          </w:rPr>
          <w:t>54</w:t>
        </w:r>
      </w:hyperlink>
      <w:r w:rsidRPr="005A19AC">
        <w:rPr>
          <w:sz w:val="20"/>
          <w:szCs w:val="20"/>
        </w:rPr>
        <w:t xml:space="preserve">, </w:t>
      </w:r>
      <w:hyperlink r:id="rId34" w:history="1">
        <w:r w:rsidRPr="005A19AC">
          <w:rPr>
            <w:color w:val="0000FF"/>
            <w:sz w:val="20"/>
            <w:szCs w:val="20"/>
          </w:rPr>
          <w:t>63</w:t>
        </w:r>
      </w:hyperlink>
      <w:r w:rsidRPr="005A19AC">
        <w:rPr>
          <w:sz w:val="20"/>
          <w:szCs w:val="20"/>
        </w:rPr>
        <w:t xml:space="preserve">, </w:t>
      </w:r>
      <w:hyperlink r:id="rId35" w:history="1">
        <w:r w:rsidRPr="005A19AC">
          <w:rPr>
            <w:color w:val="0000FF"/>
            <w:sz w:val="20"/>
            <w:szCs w:val="20"/>
          </w:rPr>
          <w:t>66</w:t>
        </w:r>
      </w:hyperlink>
      <w:r w:rsidRPr="005A19AC">
        <w:rPr>
          <w:sz w:val="20"/>
          <w:szCs w:val="20"/>
        </w:rPr>
        <w:t xml:space="preserve">, </w:t>
      </w:r>
      <w:hyperlink r:id="rId36" w:history="1">
        <w:r w:rsidRPr="005A19AC">
          <w:rPr>
            <w:color w:val="0000FF"/>
            <w:sz w:val="20"/>
            <w:szCs w:val="20"/>
          </w:rPr>
          <w:t>68</w:t>
        </w:r>
      </w:hyperlink>
      <w:r w:rsidRPr="005A19AC">
        <w:rPr>
          <w:sz w:val="20"/>
          <w:szCs w:val="20"/>
        </w:rPr>
        <w:t xml:space="preserve"> - </w:t>
      </w:r>
      <w:hyperlink r:id="rId37" w:history="1">
        <w:r w:rsidRPr="005A19AC">
          <w:rPr>
            <w:color w:val="0000FF"/>
            <w:sz w:val="20"/>
            <w:szCs w:val="20"/>
          </w:rPr>
          <w:t>71</w:t>
        </w:r>
      </w:hyperlink>
      <w:r w:rsidRPr="005A19AC">
        <w:rPr>
          <w:sz w:val="20"/>
          <w:szCs w:val="20"/>
        </w:rPr>
        <w:t xml:space="preserve">, </w:t>
      </w:r>
      <w:hyperlink r:id="rId38" w:history="1">
        <w:r w:rsidRPr="005A19AC">
          <w:rPr>
            <w:color w:val="0000FF"/>
            <w:sz w:val="20"/>
            <w:szCs w:val="20"/>
          </w:rPr>
          <w:t>73</w:t>
        </w:r>
      </w:hyperlink>
      <w:r w:rsidRPr="005A19AC">
        <w:rPr>
          <w:sz w:val="20"/>
          <w:szCs w:val="20"/>
        </w:rPr>
        <w:t xml:space="preserve">, </w:t>
      </w:r>
      <w:hyperlink r:id="rId39" w:history="1">
        <w:r w:rsidRPr="005A19AC">
          <w:rPr>
            <w:color w:val="0000FF"/>
            <w:sz w:val="20"/>
            <w:szCs w:val="20"/>
          </w:rPr>
          <w:t>89</w:t>
        </w:r>
      </w:hyperlink>
      <w:r w:rsidRPr="005A19AC">
        <w:rPr>
          <w:sz w:val="20"/>
          <w:szCs w:val="20"/>
        </w:rPr>
        <w:t xml:space="preserve">, </w:t>
      </w:r>
      <w:hyperlink r:id="rId40" w:history="1">
        <w:r w:rsidRPr="005A19AC">
          <w:rPr>
            <w:color w:val="0000FF"/>
            <w:sz w:val="20"/>
            <w:szCs w:val="20"/>
          </w:rPr>
          <w:t>127</w:t>
        </w:r>
      </w:hyperlink>
      <w:r w:rsidRPr="005A19AC">
        <w:rPr>
          <w:sz w:val="20"/>
          <w:szCs w:val="20"/>
        </w:rPr>
        <w:t xml:space="preserve"> приложения 2 к Указанию Банка России от 10 апреля 2023 года N 6406-У "О 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w:t>
      </w:r>
      <w:r w:rsidRPr="005A19AC">
        <w:rPr>
          <w:sz w:val="20"/>
          <w:szCs w:val="20"/>
        </w:rPr>
        <w:lastRenderedPageBreak/>
        <w:t>организаций (банковских групп)" (зарегистрировано Минюстом России 16 августа 2023 года, регистрационный N 74823)</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содержащаяся в </w:t>
      </w:r>
      <w:hyperlink r:id="rId41" w:history="1">
        <w:r w:rsidRPr="005A19AC">
          <w:rPr>
            <w:color w:val="0000FF"/>
            <w:sz w:val="20"/>
            <w:szCs w:val="20"/>
          </w:rPr>
          <w:t>приложениях 1</w:t>
        </w:r>
      </w:hyperlink>
      <w:r w:rsidRPr="005A19AC">
        <w:rPr>
          <w:sz w:val="20"/>
          <w:szCs w:val="20"/>
        </w:rPr>
        <w:t xml:space="preserve"> - </w:t>
      </w:r>
      <w:hyperlink r:id="rId42" w:history="1">
        <w:r w:rsidRPr="005A19AC">
          <w:rPr>
            <w:color w:val="0000FF"/>
            <w:sz w:val="20"/>
            <w:szCs w:val="20"/>
          </w:rPr>
          <w:t>5</w:t>
        </w:r>
      </w:hyperlink>
      <w:r w:rsidRPr="005A19AC">
        <w:rPr>
          <w:sz w:val="20"/>
          <w:szCs w:val="20"/>
        </w:rPr>
        <w:t xml:space="preserve"> к Указанию Банка России от 9 февраля 2009 года N 2181-У "О порядке представления кредитными организациями информации и документов уполномоченным представителям Банка России", зарегистрированному Министерством юстиции Российской Федерации 18 февраля 2009 года N 13380, 18 мая 2012 года N 24213, 18 декабря 2013 года N 30628 (далее - Указание Банка России N 2181-У), а также информация, содержащаяся в отчетности, представляемой уполномоченным представителям Банка России в соответствии с </w:t>
      </w:r>
      <w:hyperlink r:id="rId43" w:history="1">
        <w:r w:rsidRPr="005A19AC">
          <w:rPr>
            <w:color w:val="0000FF"/>
            <w:sz w:val="20"/>
            <w:szCs w:val="20"/>
          </w:rPr>
          <w:t>Указанием</w:t>
        </w:r>
      </w:hyperlink>
      <w:r w:rsidRPr="005A19AC">
        <w:rPr>
          <w:sz w:val="20"/>
          <w:szCs w:val="20"/>
        </w:rPr>
        <w:t xml:space="preserve"> Банка России N 2181-У (для эмитентов, являющихся кредитными организациями)</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содержащаяся в </w:t>
      </w:r>
      <w:hyperlink r:id="rId44" w:history="1">
        <w:r w:rsidRPr="005A19AC">
          <w:rPr>
            <w:color w:val="0000FF"/>
            <w:sz w:val="20"/>
            <w:szCs w:val="20"/>
          </w:rPr>
          <w:t>приложениях 1</w:t>
        </w:r>
      </w:hyperlink>
      <w:r w:rsidRPr="005A19AC">
        <w:rPr>
          <w:sz w:val="20"/>
          <w:szCs w:val="20"/>
        </w:rPr>
        <w:t xml:space="preserve"> - </w:t>
      </w:r>
      <w:hyperlink r:id="rId45" w:history="1">
        <w:r w:rsidRPr="005A19AC">
          <w:rPr>
            <w:color w:val="0000FF"/>
            <w:sz w:val="20"/>
            <w:szCs w:val="20"/>
          </w:rPr>
          <w:t>3</w:t>
        </w:r>
      </w:hyperlink>
      <w:r w:rsidRPr="005A19AC">
        <w:rPr>
          <w:sz w:val="20"/>
          <w:szCs w:val="20"/>
        </w:rPr>
        <w:t xml:space="preserve"> к Указанию Банка России от 9 сентября 2015 года N 3777-У "О составлении и представлении в Банк России отчетности и иной информации о рисках банковского холдинга", зарегистрированному Министерством юстиции Российской Федерации 9 ноября 2015 года N 39615, 13 июня 2018 года N 51340 (для эмитентов, являющихся головными организациями банковских холдингов)</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принимаемых рисках, процедурах их оценки, управления рисками и капиталом, формируемая в соответствии с </w:t>
      </w:r>
      <w:hyperlink r:id="rId46" w:history="1">
        <w:r w:rsidRPr="005A19AC">
          <w:rPr>
            <w:color w:val="0000FF"/>
            <w:sz w:val="20"/>
            <w:szCs w:val="20"/>
          </w:rPr>
          <w:t>Указанием</w:t>
        </w:r>
      </w:hyperlink>
      <w:r w:rsidRPr="005A19AC">
        <w:rPr>
          <w:sz w:val="20"/>
          <w:szCs w:val="20"/>
        </w:rPr>
        <w:t xml:space="preserve"> Банка России от 7 августа 2017 года N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 зарегистрированным Министерством юстиции Российской Федерации 1 ноября 2017 года N 48769, 29 июня 2018 года N 51480, 21 февраля 2019 года N 53860, 10 июля 2020 года N 58908 (для эмитентов, являющихся кредитными организациями (головными кредитными организациями банковских групп), за исключения банков с базовой лицензией и небанковских кредитных организаций)</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содержащаяся в материалах, на основании которых органами управления эмитента, за исключением общего собрания акционеров, принимаются решения, которые могут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p w:rsidR="00867265" w:rsidRPr="005A19AC" w:rsidRDefault="00867265" w:rsidP="00867265">
      <w:pPr>
        <w:pStyle w:val="a7"/>
        <w:numPr>
          <w:ilvl w:val="1"/>
          <w:numId w:val="1"/>
        </w:numPr>
        <w:spacing w:after="120"/>
        <w:jc w:val="both"/>
        <w:rPr>
          <w:sz w:val="20"/>
          <w:szCs w:val="20"/>
        </w:rPr>
      </w:pPr>
      <w:r w:rsidRPr="005A19AC">
        <w:rPr>
          <w:sz w:val="20"/>
          <w:szCs w:val="20"/>
        </w:rPr>
        <w:t xml:space="preserve">Информация о произошедшей на эксплуатируемых эмитентом опасных производственных объектах, определяемых в соответствии с Федеральным </w:t>
      </w:r>
      <w:hyperlink r:id="rId47" w:history="1">
        <w:r w:rsidRPr="005A19AC">
          <w:rPr>
            <w:color w:val="0000FF"/>
            <w:sz w:val="20"/>
            <w:szCs w:val="20"/>
          </w:rPr>
          <w:t>законом</w:t>
        </w:r>
      </w:hyperlink>
      <w:r w:rsidRPr="005A19AC">
        <w:rPr>
          <w:sz w:val="20"/>
          <w:szCs w:val="20"/>
        </w:rPr>
        <w:t xml:space="preserve"> от 21 июля 1997 года N 116-ФЗ "О промышленной безопасности опасных производственных объектов", аварии, если такая информация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rsidR="00867265" w:rsidRPr="005A19AC" w:rsidRDefault="00867265" w:rsidP="00867265">
      <w:pPr>
        <w:pStyle w:val="a7"/>
        <w:numPr>
          <w:ilvl w:val="1"/>
          <w:numId w:val="1"/>
        </w:numPr>
        <w:spacing w:after="120"/>
        <w:jc w:val="both"/>
        <w:rPr>
          <w:sz w:val="20"/>
          <w:szCs w:val="20"/>
        </w:rPr>
      </w:pPr>
      <w:r w:rsidRPr="005A19AC">
        <w:rPr>
          <w:sz w:val="20"/>
          <w:szCs w:val="20"/>
        </w:rPr>
        <w:t>Информация об иных событиях (действиях), оказывающих, по мнению эмитента, существенное влияние на стоимость или котировки его ценных бумаг</w:t>
      </w:r>
    </w:p>
    <w:p w:rsidR="00867265" w:rsidRPr="000166D4" w:rsidRDefault="00867265" w:rsidP="00867265">
      <w:pPr>
        <w:pStyle w:val="a7"/>
        <w:spacing w:after="120"/>
        <w:jc w:val="both"/>
        <w:rPr>
          <w:b/>
          <w:color w:val="000000"/>
          <w:sz w:val="20"/>
          <w:szCs w:val="20"/>
          <w:u w:val="single"/>
        </w:rPr>
      </w:pPr>
    </w:p>
    <w:p w:rsidR="00867265" w:rsidRDefault="00867265" w:rsidP="00867265">
      <w:pPr>
        <w:autoSpaceDE w:val="0"/>
        <w:autoSpaceDN w:val="0"/>
        <w:adjustRightInd w:val="0"/>
        <w:ind w:firstLine="540"/>
        <w:jc w:val="both"/>
        <w:rPr>
          <w:rFonts w:ascii="Arial" w:hAnsi="Arial" w:cs="Arial"/>
          <w:sz w:val="20"/>
          <w:szCs w:val="20"/>
        </w:rPr>
      </w:pPr>
    </w:p>
    <w:p w:rsidR="00867265" w:rsidRDefault="00867265" w:rsidP="00867265">
      <w:pPr>
        <w:autoSpaceDE w:val="0"/>
        <w:autoSpaceDN w:val="0"/>
        <w:adjustRightInd w:val="0"/>
        <w:ind w:firstLine="540"/>
        <w:jc w:val="both"/>
        <w:rPr>
          <w:rFonts w:ascii="Arial" w:hAnsi="Arial" w:cs="Arial"/>
          <w:sz w:val="20"/>
          <w:szCs w:val="20"/>
        </w:rPr>
      </w:pPr>
    </w:p>
    <w:p w:rsidR="00867265" w:rsidRDefault="00867265" w:rsidP="00867265">
      <w:pPr>
        <w:pBdr>
          <w:top w:val="single" w:sz="6" w:space="0" w:color="auto"/>
        </w:pBdr>
        <w:autoSpaceDE w:val="0"/>
        <w:autoSpaceDN w:val="0"/>
        <w:adjustRightInd w:val="0"/>
        <w:spacing w:before="100" w:after="100"/>
        <w:jc w:val="both"/>
        <w:rPr>
          <w:rFonts w:ascii="Arial" w:hAnsi="Arial" w:cs="Arial"/>
          <w:sz w:val="2"/>
          <w:szCs w:val="2"/>
        </w:rPr>
      </w:pPr>
    </w:p>
    <w:p w:rsidR="00867265" w:rsidRPr="00CF4DCC" w:rsidRDefault="00867265" w:rsidP="00867265">
      <w:pPr>
        <w:pStyle w:val="a7"/>
        <w:spacing w:after="120"/>
        <w:ind w:left="426"/>
        <w:jc w:val="both"/>
        <w:rPr>
          <w:color w:val="000000"/>
          <w:sz w:val="22"/>
          <w:szCs w:val="22"/>
        </w:rPr>
      </w:pPr>
    </w:p>
    <w:p w:rsidR="00867265" w:rsidRDefault="00867265" w:rsidP="00867265">
      <w:pPr>
        <w:jc w:val="center"/>
        <w:rPr>
          <w:b/>
          <w:bCs/>
          <w:color w:val="000000"/>
          <w:sz w:val="22"/>
          <w:szCs w:val="20"/>
        </w:rPr>
      </w:pPr>
    </w:p>
    <w:p w:rsidR="00867265" w:rsidRDefault="00867265" w:rsidP="00867265">
      <w:pPr>
        <w:pStyle w:val="a7"/>
        <w:tabs>
          <w:tab w:val="left" w:pos="567"/>
        </w:tabs>
        <w:autoSpaceDE w:val="0"/>
        <w:autoSpaceDN w:val="0"/>
        <w:spacing w:before="120"/>
        <w:ind w:left="66"/>
        <w:contextualSpacing w:val="0"/>
        <w:jc w:val="both"/>
        <w:rPr>
          <w:b/>
          <w:i/>
          <w:sz w:val="22"/>
          <w:szCs w:val="22"/>
          <w:u w:val="single"/>
        </w:rPr>
      </w:pPr>
      <w:r w:rsidRPr="007B0517">
        <w:rPr>
          <w:b/>
          <w:bCs/>
          <w:i/>
          <w:color w:val="000000"/>
          <w:sz w:val="22"/>
          <w:szCs w:val="22"/>
          <w:u w:val="single"/>
        </w:rPr>
        <w:t xml:space="preserve">Информация, относящаяся к инсайдерской информации </w:t>
      </w:r>
      <w:r>
        <w:rPr>
          <w:b/>
          <w:bCs/>
          <w:i/>
          <w:color w:val="000000"/>
          <w:sz w:val="22"/>
          <w:szCs w:val="22"/>
          <w:u w:val="single"/>
        </w:rPr>
        <w:t>Банка,</w:t>
      </w:r>
      <w:r>
        <w:rPr>
          <w:b/>
          <w:i/>
          <w:sz w:val="22"/>
          <w:szCs w:val="22"/>
          <w:u w:val="single"/>
        </w:rPr>
        <w:t xml:space="preserve"> являющегося </w:t>
      </w:r>
      <w:r w:rsidRPr="001A599D">
        <w:rPr>
          <w:b/>
          <w:i/>
          <w:sz w:val="22"/>
          <w:szCs w:val="22"/>
          <w:u w:val="single"/>
        </w:rPr>
        <w:t>профессиональны</w:t>
      </w:r>
      <w:r>
        <w:rPr>
          <w:b/>
          <w:i/>
          <w:sz w:val="22"/>
          <w:szCs w:val="22"/>
          <w:u w:val="single"/>
        </w:rPr>
        <w:t>м</w:t>
      </w:r>
      <w:r w:rsidRPr="001A599D">
        <w:rPr>
          <w:b/>
          <w:i/>
          <w:sz w:val="22"/>
          <w:szCs w:val="22"/>
          <w:u w:val="single"/>
        </w:rPr>
        <w:t xml:space="preserve"> участнико</w:t>
      </w:r>
      <w:r>
        <w:rPr>
          <w:b/>
          <w:i/>
          <w:sz w:val="22"/>
          <w:szCs w:val="22"/>
          <w:u w:val="single"/>
        </w:rPr>
        <w:t>м</w:t>
      </w:r>
      <w:r w:rsidRPr="001A599D">
        <w:rPr>
          <w:b/>
          <w:i/>
          <w:sz w:val="22"/>
          <w:szCs w:val="22"/>
          <w:u w:val="single"/>
        </w:rPr>
        <w:t xml:space="preserve"> ры</w:t>
      </w:r>
      <w:r>
        <w:rPr>
          <w:b/>
          <w:i/>
          <w:sz w:val="22"/>
          <w:szCs w:val="22"/>
          <w:u w:val="single"/>
        </w:rPr>
        <w:t>нка ценных бумаг, осуществляющего</w:t>
      </w:r>
      <w:r w:rsidRPr="001A599D">
        <w:rPr>
          <w:b/>
          <w:i/>
          <w:sz w:val="22"/>
          <w:szCs w:val="22"/>
          <w:u w:val="single"/>
        </w:rPr>
        <w:t xml:space="preserve"> в интересах</w:t>
      </w:r>
      <w:r>
        <w:rPr>
          <w:b/>
          <w:i/>
          <w:sz w:val="22"/>
          <w:szCs w:val="22"/>
          <w:u w:val="single"/>
        </w:rPr>
        <w:t xml:space="preserve"> клиентов операции с финансовыми инструме</w:t>
      </w:r>
      <w:r>
        <w:rPr>
          <w:b/>
          <w:i/>
          <w:sz w:val="22"/>
          <w:szCs w:val="22"/>
          <w:u w:val="single"/>
        </w:rPr>
        <w:t>н</w:t>
      </w:r>
      <w:r>
        <w:rPr>
          <w:b/>
          <w:i/>
          <w:sz w:val="22"/>
          <w:szCs w:val="22"/>
          <w:u w:val="single"/>
        </w:rPr>
        <w:t xml:space="preserve">тами, иностранной валютой, допущенными к организованным торгам (в отношении которых подана заявка о допуске к организованным торгам). </w:t>
      </w:r>
    </w:p>
    <w:p w:rsidR="00867265" w:rsidRDefault="00867265" w:rsidP="00867265">
      <w:pPr>
        <w:jc w:val="center"/>
      </w:pPr>
      <w:r>
        <w:rPr>
          <w:b/>
          <w:bCs/>
          <w:color w:val="000000"/>
          <w:sz w:val="22"/>
          <w:szCs w:val="20"/>
        </w:rPr>
        <w:t xml:space="preserve"> </w:t>
      </w:r>
    </w:p>
    <w:p w:rsidR="00867265" w:rsidRDefault="00867265" w:rsidP="00867265">
      <w:pPr>
        <w:pStyle w:val="a7"/>
        <w:tabs>
          <w:tab w:val="left" w:pos="567"/>
        </w:tabs>
        <w:autoSpaceDE w:val="0"/>
        <w:autoSpaceDN w:val="0"/>
        <w:spacing w:before="120"/>
        <w:ind w:left="0"/>
        <w:contextualSpacing w:val="0"/>
        <w:jc w:val="both"/>
        <w:rPr>
          <w:color w:val="000000"/>
          <w:sz w:val="22"/>
          <w:szCs w:val="22"/>
        </w:rPr>
      </w:pPr>
      <w:r>
        <w:rPr>
          <w:color w:val="000000"/>
          <w:sz w:val="22"/>
          <w:szCs w:val="22"/>
        </w:rPr>
        <w:tab/>
        <w:t xml:space="preserve">1.1. </w:t>
      </w:r>
      <w:r w:rsidRPr="00A86390">
        <w:rPr>
          <w:color w:val="000000"/>
          <w:sz w:val="22"/>
          <w:szCs w:val="22"/>
        </w:rPr>
        <w:t xml:space="preserve">Информация, содержащаяся в поручениях клиентов на </w:t>
      </w:r>
      <w:r>
        <w:rPr>
          <w:color w:val="000000"/>
          <w:sz w:val="22"/>
          <w:szCs w:val="22"/>
        </w:rPr>
        <w:t>совершение сделок с ценными бумаг</w:t>
      </w:r>
      <w:r>
        <w:rPr>
          <w:color w:val="000000"/>
          <w:sz w:val="22"/>
          <w:szCs w:val="22"/>
        </w:rPr>
        <w:t>а</w:t>
      </w:r>
      <w:r>
        <w:rPr>
          <w:color w:val="000000"/>
          <w:sz w:val="22"/>
          <w:szCs w:val="22"/>
        </w:rPr>
        <w:t>ми.</w:t>
      </w:r>
    </w:p>
    <w:p w:rsidR="00867265" w:rsidRDefault="00867265" w:rsidP="00867265">
      <w:pPr>
        <w:pStyle w:val="a7"/>
        <w:tabs>
          <w:tab w:val="left" w:pos="567"/>
        </w:tabs>
        <w:autoSpaceDE w:val="0"/>
        <w:autoSpaceDN w:val="0"/>
        <w:spacing w:before="120"/>
        <w:ind w:left="0"/>
        <w:contextualSpacing w:val="0"/>
        <w:jc w:val="both"/>
        <w:rPr>
          <w:sz w:val="22"/>
          <w:szCs w:val="22"/>
        </w:rPr>
      </w:pPr>
      <w:r>
        <w:rPr>
          <w:sz w:val="22"/>
          <w:szCs w:val="22"/>
        </w:rPr>
        <w:tab/>
        <w:t xml:space="preserve">1.2. </w:t>
      </w:r>
      <w:r w:rsidRPr="00D37BF7">
        <w:rPr>
          <w:color w:val="000000"/>
          <w:sz w:val="22"/>
          <w:szCs w:val="22"/>
        </w:rPr>
        <w:t xml:space="preserve">Информация, </w:t>
      </w:r>
      <w:r w:rsidRPr="00A86390">
        <w:rPr>
          <w:color w:val="000000"/>
          <w:sz w:val="22"/>
          <w:szCs w:val="22"/>
        </w:rPr>
        <w:t>содержащаяся в поручениях клиентов на заключение д</w:t>
      </w:r>
      <w:r w:rsidRPr="00A86390">
        <w:rPr>
          <w:color w:val="000000"/>
          <w:sz w:val="22"/>
          <w:szCs w:val="22"/>
        </w:rPr>
        <w:t>о</w:t>
      </w:r>
      <w:r w:rsidRPr="00A86390">
        <w:rPr>
          <w:color w:val="000000"/>
          <w:sz w:val="22"/>
          <w:szCs w:val="22"/>
        </w:rPr>
        <w:t xml:space="preserve">говоров, </w:t>
      </w:r>
      <w:proofErr w:type="gramStart"/>
      <w:r w:rsidRPr="00A86390">
        <w:rPr>
          <w:color w:val="000000"/>
          <w:sz w:val="22"/>
          <w:szCs w:val="22"/>
        </w:rPr>
        <w:t>являющихся</w:t>
      </w:r>
      <w:r>
        <w:rPr>
          <w:color w:val="000000"/>
          <w:sz w:val="22"/>
          <w:szCs w:val="22"/>
        </w:rPr>
        <w:t xml:space="preserve"> </w:t>
      </w:r>
      <w:r>
        <w:rPr>
          <w:sz w:val="22"/>
          <w:szCs w:val="22"/>
        </w:rPr>
        <w:t xml:space="preserve"> производными</w:t>
      </w:r>
      <w:proofErr w:type="gramEnd"/>
      <w:r>
        <w:rPr>
          <w:sz w:val="22"/>
          <w:szCs w:val="22"/>
        </w:rPr>
        <w:t xml:space="preserve"> финансовыми инструментами.</w:t>
      </w:r>
    </w:p>
    <w:p w:rsidR="00867265" w:rsidRDefault="00867265" w:rsidP="00867265">
      <w:pPr>
        <w:pStyle w:val="a7"/>
        <w:tabs>
          <w:tab w:val="left" w:pos="567"/>
        </w:tabs>
        <w:autoSpaceDE w:val="0"/>
        <w:autoSpaceDN w:val="0"/>
        <w:spacing w:before="120"/>
        <w:ind w:left="0"/>
        <w:contextualSpacing w:val="0"/>
        <w:jc w:val="both"/>
        <w:rPr>
          <w:sz w:val="22"/>
          <w:szCs w:val="22"/>
        </w:rPr>
      </w:pPr>
      <w:r>
        <w:rPr>
          <w:sz w:val="22"/>
          <w:szCs w:val="22"/>
        </w:rPr>
        <w:tab/>
        <w:t xml:space="preserve">1.3. </w:t>
      </w:r>
      <w:r w:rsidRPr="002B51E6" w:rsidDel="001E191C">
        <w:rPr>
          <w:sz w:val="22"/>
          <w:szCs w:val="22"/>
        </w:rPr>
        <w:t xml:space="preserve"> </w:t>
      </w:r>
      <w:r w:rsidRPr="002B51E6">
        <w:rPr>
          <w:sz w:val="22"/>
          <w:szCs w:val="22"/>
        </w:rPr>
        <w:t>Информация, содержащаяся в поручениях клиентов на приобретение (покупку) или продажу иностранной валюты через организаторов торговли</w:t>
      </w:r>
      <w:r>
        <w:rPr>
          <w:sz w:val="22"/>
          <w:szCs w:val="22"/>
        </w:rPr>
        <w:t>.</w:t>
      </w:r>
    </w:p>
    <w:p w:rsidR="00867265" w:rsidRDefault="00867265" w:rsidP="00867265">
      <w:pPr>
        <w:pStyle w:val="a7"/>
        <w:tabs>
          <w:tab w:val="left" w:pos="567"/>
        </w:tabs>
        <w:autoSpaceDE w:val="0"/>
        <w:autoSpaceDN w:val="0"/>
        <w:spacing w:before="120"/>
        <w:ind w:left="0"/>
        <w:contextualSpacing w:val="0"/>
        <w:jc w:val="both"/>
        <w:rPr>
          <w:sz w:val="22"/>
          <w:szCs w:val="22"/>
        </w:rPr>
      </w:pPr>
      <w:r>
        <w:rPr>
          <w:sz w:val="22"/>
          <w:szCs w:val="22"/>
        </w:rPr>
        <w:tab/>
        <w:t xml:space="preserve">1.4. </w:t>
      </w:r>
      <w:r w:rsidRPr="002B51E6">
        <w:rPr>
          <w:sz w:val="22"/>
          <w:szCs w:val="22"/>
        </w:rPr>
        <w:t xml:space="preserve">Информация об операциях </w:t>
      </w:r>
      <w:r>
        <w:rPr>
          <w:sz w:val="22"/>
          <w:szCs w:val="22"/>
        </w:rPr>
        <w:t>Банка</w:t>
      </w:r>
      <w:r w:rsidRPr="002B51E6">
        <w:rPr>
          <w:sz w:val="22"/>
          <w:szCs w:val="22"/>
        </w:rPr>
        <w:t xml:space="preserve"> с иностранной валютой, связанных с проведением банко</w:t>
      </w:r>
      <w:r w:rsidRPr="002B51E6">
        <w:rPr>
          <w:sz w:val="22"/>
          <w:szCs w:val="22"/>
        </w:rPr>
        <w:t>в</w:t>
      </w:r>
      <w:r w:rsidRPr="002B51E6">
        <w:rPr>
          <w:sz w:val="22"/>
          <w:szCs w:val="22"/>
        </w:rPr>
        <w:t xml:space="preserve">ских операций в интересах клиентов, в случае если проведение таких операций влечет необходимость для </w:t>
      </w:r>
      <w:r>
        <w:rPr>
          <w:sz w:val="22"/>
          <w:szCs w:val="22"/>
        </w:rPr>
        <w:t>Банка</w:t>
      </w:r>
      <w:r w:rsidRPr="002B51E6">
        <w:rPr>
          <w:sz w:val="22"/>
          <w:szCs w:val="22"/>
        </w:rPr>
        <w:t xml:space="preserve"> совершать операции на организованных торгах и проведение указанных операций может ок</w:t>
      </w:r>
      <w:r w:rsidRPr="002B51E6">
        <w:rPr>
          <w:sz w:val="22"/>
          <w:szCs w:val="22"/>
        </w:rPr>
        <w:t>а</w:t>
      </w:r>
      <w:r w:rsidRPr="002B51E6">
        <w:rPr>
          <w:sz w:val="22"/>
          <w:szCs w:val="22"/>
        </w:rPr>
        <w:t>зать существенное влияние на цену иностранной валюты</w:t>
      </w:r>
      <w:r>
        <w:rPr>
          <w:sz w:val="22"/>
          <w:szCs w:val="22"/>
        </w:rPr>
        <w:t>.</w:t>
      </w:r>
    </w:p>
    <w:p w:rsidR="00867265" w:rsidRDefault="00867265" w:rsidP="00867265">
      <w:pPr>
        <w:pStyle w:val="a7"/>
        <w:tabs>
          <w:tab w:val="left" w:pos="567"/>
        </w:tabs>
        <w:autoSpaceDE w:val="0"/>
        <w:autoSpaceDN w:val="0"/>
        <w:spacing w:before="120"/>
        <w:ind w:left="0"/>
        <w:contextualSpacing w:val="0"/>
        <w:jc w:val="both"/>
        <w:rPr>
          <w:sz w:val="22"/>
          <w:szCs w:val="22"/>
        </w:rPr>
      </w:pPr>
      <w:r>
        <w:rPr>
          <w:sz w:val="22"/>
          <w:szCs w:val="22"/>
        </w:rPr>
        <w:tab/>
        <w:t xml:space="preserve">1.5. </w:t>
      </w:r>
      <w:r w:rsidRPr="002B51E6" w:rsidDel="001E191C">
        <w:rPr>
          <w:sz w:val="22"/>
          <w:szCs w:val="22"/>
        </w:rPr>
        <w:t xml:space="preserve"> </w:t>
      </w:r>
      <w:r w:rsidRPr="002B51E6">
        <w:rPr>
          <w:sz w:val="22"/>
          <w:szCs w:val="22"/>
        </w:rPr>
        <w:t>Информация об операциях по счетам депо клиентов</w:t>
      </w:r>
      <w:r>
        <w:rPr>
          <w:sz w:val="22"/>
          <w:szCs w:val="22"/>
        </w:rPr>
        <w:t>.</w:t>
      </w:r>
    </w:p>
    <w:p w:rsidR="00867265" w:rsidRPr="00C75CF0" w:rsidRDefault="00867265" w:rsidP="00867265">
      <w:pPr>
        <w:autoSpaceDE w:val="0"/>
        <w:autoSpaceDN w:val="0"/>
        <w:adjustRightInd w:val="0"/>
        <w:ind w:firstLine="283"/>
        <w:jc w:val="both"/>
      </w:pPr>
      <w:r>
        <w:rPr>
          <w:sz w:val="22"/>
          <w:szCs w:val="22"/>
        </w:rPr>
        <w:tab/>
      </w:r>
      <w:r w:rsidRPr="009E2D3D">
        <w:t>1.6.</w:t>
      </w:r>
      <w:r w:rsidRPr="009E2D3D" w:rsidDel="001E191C">
        <w:t xml:space="preserve"> </w:t>
      </w:r>
      <w:r w:rsidRPr="00C75CF0">
        <w:t>Информация, содержащаяся в поданных клиентами сообщениях о намерении заключить договор на организованных торгах, содержащих условия такого договора</w:t>
      </w:r>
      <w:r>
        <w:t>.</w:t>
      </w:r>
    </w:p>
    <w:p w:rsidR="00867265" w:rsidRPr="002477CC" w:rsidRDefault="00867265" w:rsidP="00867265">
      <w:pPr>
        <w:pStyle w:val="a7"/>
        <w:tabs>
          <w:tab w:val="left" w:pos="567"/>
        </w:tabs>
        <w:autoSpaceDE w:val="0"/>
        <w:autoSpaceDN w:val="0"/>
        <w:spacing w:before="120"/>
        <w:ind w:left="0"/>
        <w:contextualSpacing w:val="0"/>
        <w:jc w:val="both"/>
        <w:rPr>
          <w:sz w:val="22"/>
          <w:szCs w:val="22"/>
        </w:rPr>
      </w:pPr>
    </w:p>
    <w:p w:rsidR="00867265" w:rsidRDefault="00867265" w:rsidP="00867265">
      <w:pPr>
        <w:suppressAutoHyphens/>
        <w:autoSpaceDE w:val="0"/>
        <w:autoSpaceDN w:val="0"/>
        <w:adjustRightInd w:val="0"/>
        <w:ind w:left="357" w:firstLine="346"/>
        <w:jc w:val="both"/>
      </w:pPr>
    </w:p>
    <w:p w:rsidR="00867265" w:rsidRPr="001D3252" w:rsidRDefault="00867265" w:rsidP="00867265">
      <w:pPr>
        <w:suppressAutoHyphens/>
        <w:autoSpaceDE w:val="0"/>
        <w:autoSpaceDN w:val="0"/>
        <w:adjustRightInd w:val="0"/>
        <w:jc w:val="both"/>
        <w:rPr>
          <w:sz w:val="22"/>
          <w:szCs w:val="22"/>
        </w:rPr>
      </w:pPr>
      <w:r w:rsidRPr="001D3252">
        <w:rPr>
          <w:sz w:val="22"/>
          <w:szCs w:val="22"/>
        </w:rPr>
        <w:t xml:space="preserve">Инсайдерская информация Банка, являющегося профессиональным участником рынка ценных бумаг, </w:t>
      </w:r>
      <w:r>
        <w:rPr>
          <w:sz w:val="22"/>
          <w:szCs w:val="22"/>
        </w:rPr>
        <w:t xml:space="preserve">полученная от клиентов, </w:t>
      </w:r>
      <w:r w:rsidRPr="001D3252">
        <w:rPr>
          <w:sz w:val="22"/>
          <w:szCs w:val="22"/>
        </w:rPr>
        <w:t xml:space="preserve">раскрытию не подлежит. </w:t>
      </w:r>
    </w:p>
    <w:p w:rsidR="00867265" w:rsidRPr="00747A68" w:rsidRDefault="00867265" w:rsidP="00867265">
      <w:pPr>
        <w:suppressAutoHyphens/>
        <w:autoSpaceDE w:val="0"/>
        <w:autoSpaceDN w:val="0"/>
        <w:adjustRightInd w:val="0"/>
        <w:ind w:left="357" w:firstLine="346"/>
        <w:jc w:val="both"/>
        <w:rPr>
          <w:sz w:val="22"/>
          <w:szCs w:val="22"/>
        </w:rPr>
      </w:pPr>
    </w:p>
    <w:p w:rsidR="00867265" w:rsidRDefault="00867265" w:rsidP="00867265">
      <w:pPr>
        <w:suppressAutoHyphens/>
        <w:autoSpaceDE w:val="0"/>
        <w:autoSpaceDN w:val="0"/>
        <w:adjustRightInd w:val="0"/>
        <w:ind w:left="357" w:firstLine="346"/>
        <w:jc w:val="both"/>
      </w:pPr>
    </w:p>
    <w:p w:rsidR="00867265" w:rsidRDefault="00867265" w:rsidP="00867265">
      <w:pPr>
        <w:suppressAutoHyphens/>
        <w:autoSpaceDE w:val="0"/>
        <w:autoSpaceDN w:val="0"/>
        <w:adjustRightInd w:val="0"/>
        <w:ind w:left="357" w:firstLine="346"/>
        <w:jc w:val="both"/>
      </w:pPr>
    </w:p>
    <w:p w:rsidR="00867265" w:rsidRDefault="00867265" w:rsidP="00867265">
      <w:pPr>
        <w:suppressAutoHyphens/>
        <w:autoSpaceDE w:val="0"/>
        <w:autoSpaceDN w:val="0"/>
        <w:adjustRightInd w:val="0"/>
        <w:ind w:left="357" w:firstLine="346"/>
        <w:jc w:val="both"/>
      </w:pPr>
    </w:p>
    <w:p w:rsidR="00867265" w:rsidRDefault="00867265" w:rsidP="00867265">
      <w:pPr>
        <w:suppressAutoHyphens/>
        <w:autoSpaceDE w:val="0"/>
        <w:autoSpaceDN w:val="0"/>
        <w:adjustRightInd w:val="0"/>
        <w:ind w:left="357" w:firstLine="346"/>
        <w:jc w:val="both"/>
      </w:pPr>
    </w:p>
    <w:p w:rsidR="00867265" w:rsidRDefault="00867265" w:rsidP="00867265">
      <w:pPr>
        <w:spacing w:line="276" w:lineRule="auto"/>
        <w:jc w:val="center"/>
        <w:rPr>
          <w:rFonts w:eastAsia="Calibri"/>
          <w:lang w:eastAsia="en-US"/>
        </w:rPr>
      </w:pPr>
      <w:r>
        <w:rPr>
          <w:rFonts w:eastAsia="Calibri"/>
          <w:lang w:eastAsia="en-US"/>
        </w:rPr>
        <w:t xml:space="preserve">             </w:t>
      </w: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867265" w:rsidRDefault="00867265" w:rsidP="00867265">
      <w:pPr>
        <w:spacing w:line="276" w:lineRule="auto"/>
        <w:jc w:val="center"/>
        <w:rPr>
          <w:rFonts w:eastAsia="Calibri"/>
          <w:lang w:eastAsia="en-US"/>
        </w:rPr>
      </w:pPr>
    </w:p>
    <w:p w:rsidR="0026718D" w:rsidRDefault="0026718D"/>
    <w:sectPr w:rsidR="0026718D" w:rsidSect="00020177">
      <w:footerReference w:type="default" r:id="rId48"/>
      <w:headerReference w:type="first" r:id="rId49"/>
      <w:pgSz w:w="11906" w:h="16838"/>
      <w:pgMar w:top="1134" w:right="79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D1" w:rsidRDefault="003F49D1" w:rsidP="00867265">
      <w:r>
        <w:separator/>
      </w:r>
    </w:p>
  </w:endnote>
  <w:endnote w:type="continuationSeparator" w:id="0">
    <w:p w:rsidR="003F49D1" w:rsidRDefault="003F49D1" w:rsidP="0086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62" w:rsidRDefault="003F49D1">
    <w:pPr>
      <w:pStyle w:val="a5"/>
      <w:jc w:val="right"/>
    </w:pPr>
    <w:r>
      <w:fldChar w:fldCharType="begin"/>
    </w:r>
    <w:r>
      <w:instrText xml:space="preserve"> PAGE   \* MERGEFO</w:instrText>
    </w:r>
    <w:r>
      <w:instrText xml:space="preserve">RMAT </w:instrText>
    </w:r>
    <w:r>
      <w:fldChar w:fldCharType="separate"/>
    </w:r>
    <w:r w:rsidR="00867265">
      <w:rPr>
        <w:noProof/>
      </w:rPr>
      <w:t>7</w:t>
    </w:r>
    <w:r>
      <w:fldChar w:fldCharType="end"/>
    </w:r>
  </w:p>
  <w:p w:rsidR="00BC0162" w:rsidRDefault="003F49D1">
    <w:pPr>
      <w:pStyle w:val="a5"/>
    </w:pPr>
  </w:p>
  <w:p w:rsidR="00BC0162" w:rsidRDefault="003F49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D1" w:rsidRDefault="003F49D1" w:rsidP="00867265">
      <w:r>
        <w:separator/>
      </w:r>
    </w:p>
  </w:footnote>
  <w:footnote w:type="continuationSeparator" w:id="0">
    <w:p w:rsidR="003F49D1" w:rsidRDefault="003F49D1" w:rsidP="00867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62" w:rsidRPr="007E23C3" w:rsidRDefault="003F49D1" w:rsidP="00E36F0F">
    <w:pPr>
      <w:pStyle w:val="a3"/>
      <w:spacing w:line="276" w:lineRule="auto"/>
      <w:jc w:val="right"/>
      <w:rPr>
        <w:noProof/>
        <w:sz w:val="20"/>
        <w:szCs w:val="20"/>
      </w:rPr>
    </w:pPr>
    <w:r>
      <w:rPr>
        <w:noProof/>
        <w:sz w:val="20"/>
        <w:szCs w:val="20"/>
      </w:rPr>
      <w:t xml:space="preserve">Приложение </w:t>
    </w:r>
  </w:p>
  <w:p w:rsidR="00BC0162" w:rsidRPr="00FA204A" w:rsidRDefault="003F49D1" w:rsidP="00E36F0F">
    <w:pPr>
      <w:pStyle w:val="a3"/>
      <w:tabs>
        <w:tab w:val="clear" w:pos="9355"/>
      </w:tabs>
      <w:spacing w:line="276" w:lineRule="auto"/>
    </w:pPr>
    <w:r>
      <w:rPr>
        <w:noProof/>
        <w:sz w:val="20"/>
        <w:szCs w:val="20"/>
      </w:rPr>
      <w:tab/>
    </w:r>
    <w:r>
      <w:rPr>
        <w:noProof/>
        <w:sz w:val="20"/>
        <w:szCs w:val="20"/>
      </w:rPr>
      <w:tab/>
    </w:r>
    <w:r w:rsidRPr="0050715D">
      <w:rPr>
        <w:noProof/>
        <w:sz w:val="20"/>
        <w:szCs w:val="20"/>
      </w:rPr>
      <w:t xml:space="preserve">                         </w:t>
    </w:r>
    <w:r>
      <w:rPr>
        <w:noProof/>
        <w:sz w:val="20"/>
        <w:szCs w:val="20"/>
      </w:rPr>
      <w:t xml:space="preserve">           к Приказу от 06.09</w:t>
    </w:r>
    <w:r>
      <w:rPr>
        <w:noProof/>
        <w:sz w:val="20"/>
        <w:szCs w:val="20"/>
      </w:rPr>
      <w:t>.2024 №</w:t>
    </w:r>
    <w:r>
      <w:rPr>
        <w:noProof/>
        <w:sz w:val="20"/>
        <w:szCs w:val="20"/>
      </w:rPr>
      <w:t>80-</w:t>
    </w:r>
    <w:r>
      <w:rPr>
        <w:noProof/>
        <w:sz w:val="20"/>
        <w:szCs w:val="20"/>
      </w:rPr>
      <w:t>НД</w:t>
    </w:r>
  </w:p>
  <w:p w:rsidR="00BC0162" w:rsidRDefault="003F49D1" w:rsidP="00E36F0F">
    <w:pPr>
      <w:pStyle w:val="a3"/>
    </w:pPr>
  </w:p>
  <w:p w:rsidR="00BC0162" w:rsidRDefault="003F49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4426F"/>
    <w:multiLevelType w:val="multilevel"/>
    <w:tmpl w:val="7F2AD124"/>
    <w:lvl w:ilvl="0">
      <w:start w:val="1"/>
      <w:numFmt w:val="decimal"/>
      <w:lvlText w:val="%1."/>
      <w:lvlJc w:val="left"/>
      <w:pPr>
        <w:ind w:left="2149" w:hanging="360"/>
      </w:pPr>
    </w:lvl>
    <w:lvl w:ilvl="1">
      <w:start w:val="1"/>
      <w:numFmt w:val="decimal"/>
      <w:isLgl/>
      <w:lvlText w:val="%1.%2."/>
      <w:lvlJc w:val="left"/>
      <w:pPr>
        <w:ind w:left="435" w:hanging="43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65"/>
    <w:rsid w:val="0026718D"/>
    <w:rsid w:val="003F49D1"/>
    <w:rsid w:val="0086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0F4CCD-F651-495C-A503-8F8BBEB4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2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7265"/>
    <w:pPr>
      <w:tabs>
        <w:tab w:val="center" w:pos="4677"/>
        <w:tab w:val="right" w:pos="9355"/>
      </w:tabs>
    </w:pPr>
  </w:style>
  <w:style w:type="character" w:customStyle="1" w:styleId="a4">
    <w:name w:val="Верхний колонтитул Знак"/>
    <w:basedOn w:val="a0"/>
    <w:link w:val="a3"/>
    <w:uiPriority w:val="99"/>
    <w:rsid w:val="00867265"/>
    <w:rPr>
      <w:rFonts w:ascii="Times New Roman" w:eastAsia="Times New Roman" w:hAnsi="Times New Roman" w:cs="Times New Roman"/>
      <w:sz w:val="24"/>
      <w:szCs w:val="24"/>
      <w:lang w:eastAsia="ru-RU"/>
    </w:rPr>
  </w:style>
  <w:style w:type="paragraph" w:styleId="a5">
    <w:name w:val="footer"/>
    <w:basedOn w:val="a"/>
    <w:link w:val="a6"/>
    <w:uiPriority w:val="99"/>
    <w:rsid w:val="00867265"/>
    <w:pPr>
      <w:tabs>
        <w:tab w:val="center" w:pos="4677"/>
        <w:tab w:val="right" w:pos="9355"/>
      </w:tabs>
    </w:pPr>
  </w:style>
  <w:style w:type="character" w:customStyle="1" w:styleId="a6">
    <w:name w:val="Нижний колонтитул Знак"/>
    <w:basedOn w:val="a0"/>
    <w:link w:val="a5"/>
    <w:uiPriority w:val="99"/>
    <w:rsid w:val="00867265"/>
    <w:rPr>
      <w:rFonts w:ascii="Times New Roman" w:eastAsia="Times New Roman" w:hAnsi="Times New Roman" w:cs="Times New Roman"/>
      <w:sz w:val="24"/>
      <w:szCs w:val="24"/>
      <w:lang w:eastAsia="ru-RU"/>
    </w:rPr>
  </w:style>
  <w:style w:type="paragraph" w:styleId="a7">
    <w:name w:val="List Paragraph"/>
    <w:aliases w:val="List,List1"/>
    <w:basedOn w:val="a"/>
    <w:link w:val="a8"/>
    <w:uiPriority w:val="34"/>
    <w:qFormat/>
    <w:rsid w:val="00867265"/>
    <w:pPr>
      <w:ind w:left="720"/>
      <w:contextualSpacing/>
    </w:pPr>
  </w:style>
  <w:style w:type="character" w:customStyle="1" w:styleId="a8">
    <w:name w:val="Абзац списка Знак"/>
    <w:aliases w:val="List Знак,List1 Знак"/>
    <w:link w:val="a7"/>
    <w:uiPriority w:val="34"/>
    <w:locked/>
    <w:rsid w:val="008672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481&amp;dst=101534" TargetMode="External"/><Relationship Id="rId18" Type="http://schemas.openxmlformats.org/officeDocument/2006/relationships/hyperlink" Target="https://login.consultant.ru/link/?req=doc&amp;base=LAW&amp;n=466481&amp;dst=2167" TargetMode="External"/><Relationship Id="rId26" Type="http://schemas.openxmlformats.org/officeDocument/2006/relationships/hyperlink" Target="https://login.consultant.ru/link/?req=doc&amp;base=LAW&amp;n=478419&amp;dst=140388" TargetMode="External"/><Relationship Id="rId39" Type="http://schemas.openxmlformats.org/officeDocument/2006/relationships/hyperlink" Target="https://login.consultant.ru/link/?req=doc&amp;base=LAW&amp;n=478419&amp;dst=140692" TargetMode="External"/><Relationship Id="rId3" Type="http://schemas.openxmlformats.org/officeDocument/2006/relationships/settings" Target="settings.xml"/><Relationship Id="rId21" Type="http://schemas.openxmlformats.org/officeDocument/2006/relationships/hyperlink" Target="https://login.consultant.ru/link/?req=doc&amp;base=LAW&amp;n=478419&amp;dst=140310" TargetMode="External"/><Relationship Id="rId34" Type="http://schemas.openxmlformats.org/officeDocument/2006/relationships/hyperlink" Target="https://login.consultant.ru/link/?req=doc&amp;base=LAW&amp;n=478419&amp;dst=140554" TargetMode="External"/><Relationship Id="rId42" Type="http://schemas.openxmlformats.org/officeDocument/2006/relationships/hyperlink" Target="https://login.consultant.ru/link/?req=doc&amp;base=LAW&amp;n=156453&amp;dst=25" TargetMode="External"/><Relationship Id="rId47" Type="http://schemas.openxmlformats.org/officeDocument/2006/relationships/hyperlink" Target="https://login.consultant.ru/link/?req=doc&amp;base=LAW&amp;n=461857" TargetMode="External"/><Relationship Id="rId50" Type="http://schemas.openxmlformats.org/officeDocument/2006/relationships/fontTable" Target="fontTable.xml"/><Relationship Id="rId7" Type="http://schemas.openxmlformats.org/officeDocument/2006/relationships/hyperlink" Target="https://login.consultant.ru/link/?req=doc&amp;base=LAW&amp;n=477380" TargetMode="External"/><Relationship Id="rId12" Type="http://schemas.openxmlformats.org/officeDocument/2006/relationships/hyperlink" Target="https://login.consultant.ru/link/?req=doc&amp;base=LAW&amp;n=440052&amp;dst=101142" TargetMode="External"/><Relationship Id="rId17" Type="http://schemas.openxmlformats.org/officeDocument/2006/relationships/hyperlink" Target="https://login.consultant.ru/link/?req=doc&amp;base=LAW&amp;n=466481&amp;dst=2166" TargetMode="External"/><Relationship Id="rId25" Type="http://schemas.openxmlformats.org/officeDocument/2006/relationships/hyperlink" Target="https://login.consultant.ru/link/?req=doc&amp;base=LAW&amp;n=478419&amp;dst=140365" TargetMode="External"/><Relationship Id="rId33" Type="http://schemas.openxmlformats.org/officeDocument/2006/relationships/hyperlink" Target="https://login.consultant.ru/link/?req=doc&amp;base=LAW&amp;n=478419&amp;dst=140507" TargetMode="External"/><Relationship Id="rId38" Type="http://schemas.openxmlformats.org/officeDocument/2006/relationships/hyperlink" Target="https://login.consultant.ru/link/?req=doc&amp;base=LAW&amp;n=478419&amp;dst=140610" TargetMode="External"/><Relationship Id="rId46" Type="http://schemas.openxmlformats.org/officeDocument/2006/relationships/hyperlink" Target="https://login.consultant.ru/link/?req=doc&amp;base=LAW&amp;n=458502" TargetMode="External"/><Relationship Id="rId2" Type="http://schemas.openxmlformats.org/officeDocument/2006/relationships/styles" Target="styles.xml"/><Relationship Id="rId16" Type="http://schemas.openxmlformats.org/officeDocument/2006/relationships/hyperlink" Target="https://login.consultant.ru/link/?req=doc&amp;base=LAW&amp;n=466481&amp;dst=2248" TargetMode="External"/><Relationship Id="rId20" Type="http://schemas.openxmlformats.org/officeDocument/2006/relationships/hyperlink" Target="https://login.consultant.ru/link/?req=doc&amp;base=LAW&amp;n=478419&amp;dst=140290" TargetMode="External"/><Relationship Id="rId29" Type="http://schemas.openxmlformats.org/officeDocument/2006/relationships/hyperlink" Target="https://login.consultant.ru/link/?req=doc&amp;base=LAW&amp;n=478419&amp;dst=140455" TargetMode="External"/><Relationship Id="rId41" Type="http://schemas.openxmlformats.org/officeDocument/2006/relationships/hyperlink" Target="https://login.consultant.ru/link/?req=doc&amp;base=LAW&amp;n=156453&amp;dst=100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0052&amp;dst=100984" TargetMode="External"/><Relationship Id="rId24" Type="http://schemas.openxmlformats.org/officeDocument/2006/relationships/hyperlink" Target="https://login.consultant.ru/link/?req=doc&amp;base=LAW&amp;n=478419&amp;dst=140349" TargetMode="External"/><Relationship Id="rId32" Type="http://schemas.openxmlformats.org/officeDocument/2006/relationships/hyperlink" Target="https://login.consultant.ru/link/?req=doc&amp;base=LAW&amp;n=478419&amp;dst=140490" TargetMode="External"/><Relationship Id="rId37" Type="http://schemas.openxmlformats.org/officeDocument/2006/relationships/hyperlink" Target="https://login.consultant.ru/link/?req=doc&amp;base=LAW&amp;n=478419&amp;dst=140598" TargetMode="External"/><Relationship Id="rId40" Type="http://schemas.openxmlformats.org/officeDocument/2006/relationships/hyperlink" Target="https://login.consultant.ru/link/?req=doc&amp;base=LAW&amp;n=478419&amp;dst=140939" TargetMode="External"/><Relationship Id="rId45" Type="http://schemas.openxmlformats.org/officeDocument/2006/relationships/hyperlink" Target="https://login.consultant.ru/link/?req=doc&amp;base=LAW&amp;n=443579&amp;dst=100494" TargetMode="External"/><Relationship Id="rId5" Type="http://schemas.openxmlformats.org/officeDocument/2006/relationships/footnotes" Target="footnotes.xml"/><Relationship Id="rId15" Type="http://schemas.openxmlformats.org/officeDocument/2006/relationships/hyperlink" Target="https://login.consultant.ru/link/?req=doc&amp;base=LAW&amp;n=470479" TargetMode="External"/><Relationship Id="rId23" Type="http://schemas.openxmlformats.org/officeDocument/2006/relationships/hyperlink" Target="https://login.consultant.ru/link/?req=doc&amp;base=LAW&amp;n=478419&amp;dst=140338" TargetMode="External"/><Relationship Id="rId28" Type="http://schemas.openxmlformats.org/officeDocument/2006/relationships/hyperlink" Target="https://login.consultant.ru/link/?req=doc&amp;base=LAW&amp;n=478419&amp;dst=140430" TargetMode="External"/><Relationship Id="rId36" Type="http://schemas.openxmlformats.org/officeDocument/2006/relationships/hyperlink" Target="https://login.consultant.ru/link/?req=doc&amp;base=LAW&amp;n=478419&amp;dst=140582" TargetMode="External"/><Relationship Id="rId49" Type="http://schemas.openxmlformats.org/officeDocument/2006/relationships/header" Target="header1.xml"/><Relationship Id="rId10" Type="http://schemas.openxmlformats.org/officeDocument/2006/relationships/hyperlink" Target="https://login.consultant.ru/link/?req=doc&amp;base=LAW&amp;n=440052&amp;dst=100027" TargetMode="External"/><Relationship Id="rId19" Type="http://schemas.openxmlformats.org/officeDocument/2006/relationships/hyperlink" Target="https://login.consultant.ru/link/?req=doc&amp;base=LAW&amp;n=478419&amp;dst=140285" TargetMode="External"/><Relationship Id="rId31" Type="http://schemas.openxmlformats.org/officeDocument/2006/relationships/hyperlink" Target="https://login.consultant.ru/link/?req=doc&amp;base=LAW&amp;n=478419&amp;dst=140479" TargetMode="External"/><Relationship Id="rId44" Type="http://schemas.openxmlformats.org/officeDocument/2006/relationships/hyperlink" Target="https://login.consultant.ru/link/?req=doc&amp;base=LAW&amp;n=443579&amp;dst=1000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642&amp;dst=101348" TargetMode="External"/><Relationship Id="rId14" Type="http://schemas.openxmlformats.org/officeDocument/2006/relationships/hyperlink" Target="https://login.consultant.ru/link/?req=doc&amp;base=INT&amp;n=62534" TargetMode="External"/><Relationship Id="rId22" Type="http://schemas.openxmlformats.org/officeDocument/2006/relationships/hyperlink" Target="https://login.consultant.ru/link/?req=doc&amp;base=LAW&amp;n=478419&amp;dst=140328" TargetMode="External"/><Relationship Id="rId27" Type="http://schemas.openxmlformats.org/officeDocument/2006/relationships/hyperlink" Target="https://login.consultant.ru/link/?req=doc&amp;base=LAW&amp;n=478419&amp;dst=140400" TargetMode="External"/><Relationship Id="rId30" Type="http://schemas.openxmlformats.org/officeDocument/2006/relationships/hyperlink" Target="https://login.consultant.ru/link/?req=doc&amp;base=LAW&amp;n=478419&amp;dst=140467" TargetMode="External"/><Relationship Id="rId35" Type="http://schemas.openxmlformats.org/officeDocument/2006/relationships/hyperlink" Target="https://login.consultant.ru/link/?req=doc&amp;base=LAW&amp;n=478419&amp;dst=140569" TargetMode="External"/><Relationship Id="rId43" Type="http://schemas.openxmlformats.org/officeDocument/2006/relationships/hyperlink" Target="https://login.consultant.ru/link/?req=doc&amp;base=LAW&amp;n=156453" TargetMode="External"/><Relationship Id="rId48" Type="http://schemas.openxmlformats.org/officeDocument/2006/relationships/footer" Target="footer1.xml"/><Relationship Id="rId8" Type="http://schemas.openxmlformats.org/officeDocument/2006/relationships/hyperlink" Target="https://login.consultant.ru/link/?req=doc&amp;base=LAW&amp;n=465642&amp;dst=10134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5049</Words>
  <Characters>28783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33765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Жанна Валентиновна</dc:creator>
  <cp:keywords/>
  <dc:description/>
  <cp:lastModifiedBy>Михайлова Жанна Валентиновна</cp:lastModifiedBy>
  <cp:revision>1</cp:revision>
  <dcterms:created xsi:type="dcterms:W3CDTF">2024-10-02T18:20:00Z</dcterms:created>
  <dcterms:modified xsi:type="dcterms:W3CDTF">2024-10-02T18:22:00Z</dcterms:modified>
</cp:coreProperties>
</file>